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451D2" w14:textId="77777777" w:rsidR="00666F5C" w:rsidRDefault="00666F5C" w:rsidP="00666F5C">
      <w:pPr>
        <w:widowControl w:val="0"/>
        <w:jc w:val="center"/>
        <w:rPr>
          <w:b/>
          <w:bCs/>
          <w:sz w:val="28"/>
          <w:szCs w:val="28"/>
          <w:lang w:eastAsia="en-AU"/>
        </w:rPr>
      </w:pPr>
      <w:r>
        <w:rPr>
          <w:b/>
          <w:bCs/>
          <w:sz w:val="28"/>
          <w:szCs w:val="28"/>
        </w:rPr>
        <w:t>Whitefriars Catholic School Fee Fact Sheet</w:t>
      </w:r>
    </w:p>
    <w:p w14:paraId="5CE39218" w14:textId="77777777" w:rsidR="00666F5C" w:rsidRDefault="00666F5C" w:rsidP="00666F5C">
      <w:pPr>
        <w:widowControl w:val="0"/>
        <w:rPr>
          <w:b/>
          <w:bCs/>
        </w:rPr>
      </w:pPr>
      <w:r>
        <w:rPr>
          <w:b/>
          <w:bCs/>
        </w:rPr>
        <w:t> </w:t>
      </w:r>
    </w:p>
    <w:p w14:paraId="21689463" w14:textId="77777777" w:rsidR="00666F5C" w:rsidRDefault="00666F5C" w:rsidP="00666F5C">
      <w:pPr>
        <w:widowControl w:val="0"/>
        <w:rPr>
          <w:b/>
          <w:bCs/>
        </w:rPr>
      </w:pPr>
      <w:r>
        <w:rPr>
          <w:b/>
          <w:bCs/>
        </w:rPr>
        <w:t xml:space="preserve">Our commitment to our school families is to offer a </w:t>
      </w:r>
      <w:proofErr w:type="gramStart"/>
      <w:r>
        <w:rPr>
          <w:b/>
          <w:bCs/>
        </w:rPr>
        <w:t>high quality</w:t>
      </w:r>
      <w:proofErr w:type="gramEnd"/>
      <w:r>
        <w:rPr>
          <w:b/>
          <w:bCs/>
        </w:rPr>
        <w:t xml:space="preserve"> Catholic education that is accessible and affordable.</w:t>
      </w:r>
    </w:p>
    <w:p w14:paraId="4411627F" w14:textId="40D15788" w:rsidR="00666F5C" w:rsidRDefault="00666F5C" w:rsidP="00666F5C">
      <w:pPr>
        <w:widowControl w:val="0"/>
        <w:rPr>
          <w:b/>
          <w:bCs/>
        </w:rPr>
      </w:pPr>
      <w:r>
        <w:rPr>
          <w:b/>
          <w:bCs/>
        </w:rPr>
        <w:t>Annual School Fees 202</w:t>
      </w:r>
      <w:r w:rsidR="00D933AD">
        <w:rPr>
          <w:b/>
          <w:bCs/>
        </w:rPr>
        <w:t>4</w:t>
      </w:r>
    </w:p>
    <w:tbl>
      <w:tblPr>
        <w:tblW w:w="103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5734"/>
      </w:tblGrid>
      <w:tr w:rsidR="00666F5C" w14:paraId="6DEB0FC8" w14:textId="77777777" w:rsidTr="001160A8">
        <w:trPr>
          <w:trHeight w:val="357"/>
        </w:trPr>
        <w:tc>
          <w:tcPr>
            <w:tcW w:w="466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9FC7561" w14:textId="77777777" w:rsidR="00666F5C" w:rsidRDefault="00666F5C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Full Fee </w:t>
            </w:r>
            <w:proofErr w:type="gramStart"/>
            <w:r>
              <w:rPr>
                <w:b/>
                <w:bCs/>
                <w:sz w:val="22"/>
                <w:szCs w:val="22"/>
              </w:rPr>
              <w:t>( 1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Child)</w:t>
            </w:r>
          </w:p>
        </w:tc>
        <w:tc>
          <w:tcPr>
            <w:tcW w:w="57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53002E0" w14:textId="77777777" w:rsidR="00666F5C" w:rsidRDefault="00666F5C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$2,480</w:t>
            </w:r>
          </w:p>
        </w:tc>
      </w:tr>
      <w:tr w:rsidR="00666F5C" w14:paraId="41EB53C2" w14:textId="77777777" w:rsidTr="001160A8">
        <w:trPr>
          <w:trHeight w:val="353"/>
        </w:trPr>
        <w:tc>
          <w:tcPr>
            <w:tcW w:w="466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DC965A3" w14:textId="77777777" w:rsidR="00666F5C" w:rsidRDefault="00666F5C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Lower Income Fee (1 Child)</w:t>
            </w:r>
          </w:p>
        </w:tc>
        <w:tc>
          <w:tcPr>
            <w:tcW w:w="57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24D1353" w14:textId="77777777" w:rsidR="00666F5C" w:rsidRDefault="00666F5C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$1,488</w:t>
            </w:r>
          </w:p>
        </w:tc>
      </w:tr>
    </w:tbl>
    <w:p w14:paraId="1DCB7793" w14:textId="77777777" w:rsidR="00666F5C" w:rsidRDefault="00666F5C" w:rsidP="00666F5C">
      <w:pPr>
        <w:widowControl w:val="0"/>
      </w:pPr>
      <w:r>
        <w:t> </w:t>
      </w:r>
    </w:p>
    <w:p w14:paraId="21B6FEB9" w14:textId="77777777" w:rsidR="00666F5C" w:rsidRDefault="00666F5C" w:rsidP="00666F5C">
      <w:pPr>
        <w:widowControl w:val="0"/>
      </w:pPr>
      <w:r>
        <w:rPr>
          <w:b/>
          <w:bCs/>
        </w:rPr>
        <w:t>What is Included:</w:t>
      </w:r>
    </w:p>
    <w:p w14:paraId="0456BB27" w14:textId="41C88C3F" w:rsidR="00666F5C" w:rsidRDefault="00666F5C" w:rsidP="00666F5C">
      <w:pPr>
        <w:widowControl w:val="0"/>
      </w:pPr>
      <w:r>
        <w:t xml:space="preserve">The tuition fee above covers all tuition, </w:t>
      </w:r>
      <w:proofErr w:type="gramStart"/>
      <w:r>
        <w:t>levies</w:t>
      </w:r>
      <w:proofErr w:type="gramEnd"/>
      <w:r>
        <w:t xml:space="preserve"> and charges for each child’s education</w:t>
      </w:r>
      <w:r w:rsidR="00A46156">
        <w:t xml:space="preserve"> plus</w:t>
      </w:r>
      <w:r w:rsidR="00A46156" w:rsidRPr="00A46156">
        <w:t xml:space="preserve"> </w:t>
      </w:r>
      <w:r w:rsidR="00A46156">
        <w:t>swimming (Reception to Year 4 students</w:t>
      </w:r>
      <w:r w:rsidR="00A46156">
        <w:t>).</w:t>
      </w:r>
    </w:p>
    <w:p w14:paraId="2877C8EC" w14:textId="61F85317" w:rsidR="00666F5C" w:rsidRDefault="00666F5C" w:rsidP="00666F5C">
      <w:pPr>
        <w:widowControl w:val="0"/>
      </w:pPr>
      <w:r>
        <w:t>Ext</w:t>
      </w:r>
      <w:r w:rsidR="00643D75">
        <w:t>racurricular activities, camps</w:t>
      </w:r>
      <w:r w:rsidR="00A46156">
        <w:t xml:space="preserve">, </w:t>
      </w:r>
      <w:proofErr w:type="gramStart"/>
      <w:r w:rsidR="00A46156">
        <w:t>aquatics</w:t>
      </w:r>
      <w:proofErr w:type="gramEnd"/>
      <w:r w:rsidR="00643D75">
        <w:t xml:space="preserve"> </w:t>
      </w:r>
      <w:r>
        <w:t>and senior jumpers will be charged separately.</w:t>
      </w:r>
    </w:p>
    <w:p w14:paraId="1663D7EF" w14:textId="77777777" w:rsidR="00666F5C" w:rsidRDefault="00666F5C" w:rsidP="00666F5C">
      <w:pPr>
        <w:widowControl w:val="0"/>
      </w:pPr>
      <w:r>
        <w:t> </w:t>
      </w:r>
    </w:p>
    <w:p w14:paraId="0F5FA945" w14:textId="77777777" w:rsidR="00666F5C" w:rsidRDefault="00666F5C" w:rsidP="00666F5C">
      <w:pPr>
        <w:widowControl w:val="0"/>
      </w:pPr>
      <w:r>
        <w:rPr>
          <w:b/>
          <w:bCs/>
        </w:rPr>
        <w:t>Lower Income Fee:</w:t>
      </w:r>
    </w:p>
    <w:p w14:paraId="63ED6D71" w14:textId="77777777" w:rsidR="00666F5C" w:rsidRDefault="00666F5C" w:rsidP="00666F5C">
      <w:pPr>
        <w:widowControl w:val="0"/>
      </w:pPr>
      <w:r>
        <w:t xml:space="preserve">To be eligible for the lower income fee, you need to qualify as a </w:t>
      </w:r>
      <w:proofErr w:type="gramStart"/>
      <w:r>
        <w:t>low income</w:t>
      </w:r>
      <w:proofErr w:type="gramEnd"/>
      <w:r>
        <w:t xml:space="preserve"> family. This is determined by your family’s gross income and is a $ value set by the State Government.</w:t>
      </w:r>
    </w:p>
    <w:p w14:paraId="268C7CCA" w14:textId="77777777" w:rsidR="00666F5C" w:rsidRDefault="00666F5C" w:rsidP="00666F5C">
      <w:pPr>
        <w:widowControl w:val="0"/>
      </w:pPr>
      <w:r>
        <w:t> </w:t>
      </w:r>
    </w:p>
    <w:p w14:paraId="769C2B12" w14:textId="58EEBF20" w:rsidR="00666F5C" w:rsidRDefault="00666F5C" w:rsidP="00666F5C">
      <w:pPr>
        <w:widowControl w:val="0"/>
      </w:pPr>
      <w:r>
        <w:t>In 202</w:t>
      </w:r>
      <w:r w:rsidR="00D933AD">
        <w:t>4</w:t>
      </w:r>
      <w:r>
        <w:t>, your family’s gross income needs to be below approximately $6</w:t>
      </w:r>
      <w:r w:rsidR="00D933AD">
        <w:t>4</w:t>
      </w:r>
      <w:r>
        <w:t>,</w:t>
      </w:r>
      <w:r w:rsidR="001160A8">
        <w:t>000</w:t>
      </w:r>
      <w:r>
        <w:t xml:space="preserve"> for a family with one school-age child. (The limit will vary depending on how many dependent children you have.)</w:t>
      </w:r>
    </w:p>
    <w:p w14:paraId="602D3BA3" w14:textId="77777777" w:rsidR="00666F5C" w:rsidRDefault="00666F5C" w:rsidP="00666F5C">
      <w:pPr>
        <w:widowControl w:val="0"/>
      </w:pPr>
      <w:r>
        <w:t> </w:t>
      </w:r>
    </w:p>
    <w:p w14:paraId="4255BDD9" w14:textId="77777777" w:rsidR="00666F5C" w:rsidRDefault="00666F5C" w:rsidP="00666F5C">
      <w:pPr>
        <w:widowControl w:val="0"/>
      </w:pPr>
      <w:r>
        <w:t>Proof of income is required and applicants will need to apply via the </w:t>
      </w:r>
      <w:hyperlink r:id="rId8" w:history="1">
        <w:r>
          <w:rPr>
            <w:rStyle w:val="Hyperlink"/>
            <w:color w:val="000000"/>
          </w:rPr>
          <w:t>State Government’s School Card scheme</w:t>
        </w:r>
      </w:hyperlink>
      <w:r>
        <w:t>.</w:t>
      </w:r>
    </w:p>
    <w:p w14:paraId="6E60FB4E" w14:textId="77777777" w:rsidR="00666F5C" w:rsidRDefault="00666F5C" w:rsidP="00666F5C">
      <w:pPr>
        <w:widowControl w:val="0"/>
      </w:pPr>
      <w:r>
        <w:t> </w:t>
      </w:r>
    </w:p>
    <w:p w14:paraId="1995D87F" w14:textId="1F49BD03" w:rsidR="00666F5C" w:rsidRDefault="00666F5C" w:rsidP="00666F5C">
      <w:pPr>
        <w:widowControl w:val="0"/>
      </w:pPr>
      <w:proofErr w:type="gramStart"/>
      <w:r>
        <w:t>Our Finance Officer,</w:t>
      </w:r>
      <w:proofErr w:type="gramEnd"/>
      <w:r>
        <w:t xml:space="preserve"> can help you if you have any questions about applying for the lower income fee. </w:t>
      </w:r>
    </w:p>
    <w:p w14:paraId="645B0F75" w14:textId="77777777" w:rsidR="00A46DB5" w:rsidRDefault="00A46DB5" w:rsidP="00666F5C">
      <w:pPr>
        <w:widowControl w:val="0"/>
      </w:pPr>
    </w:p>
    <w:p w14:paraId="249F4F0A" w14:textId="77777777" w:rsidR="00666F5C" w:rsidRDefault="00666F5C" w:rsidP="00666F5C">
      <w:pPr>
        <w:widowControl w:val="0"/>
        <w:rPr>
          <w:b/>
          <w:bCs/>
        </w:rPr>
      </w:pPr>
      <w:r>
        <w:rPr>
          <w:b/>
          <w:bCs/>
        </w:rPr>
        <w:t>Need help with School Fees?</w:t>
      </w:r>
    </w:p>
    <w:p w14:paraId="0EA7F061" w14:textId="77777777" w:rsidR="00666F5C" w:rsidRDefault="00666F5C" w:rsidP="00666F5C">
      <w:pPr>
        <w:widowControl w:val="0"/>
      </w:pPr>
      <w:r>
        <w:t>If you are concerned about your ability to pay schools fees, we strongly encourage you to have a discussion with us. We believe a family’s financial circumstances should not be a barrier to a child accessing a Catholic education.</w:t>
      </w:r>
    </w:p>
    <w:p w14:paraId="5BBD6020" w14:textId="77777777" w:rsidR="00666F5C" w:rsidRDefault="00666F5C" w:rsidP="00666F5C">
      <w:pPr>
        <w:widowControl w:val="0"/>
      </w:pPr>
      <w:r>
        <w:t> </w:t>
      </w:r>
    </w:p>
    <w:p w14:paraId="0B1D8FE2" w14:textId="77777777" w:rsidR="00666F5C" w:rsidRDefault="00666F5C" w:rsidP="00666F5C">
      <w:pPr>
        <w:widowControl w:val="0"/>
        <w:rPr>
          <w:b/>
          <w:bCs/>
        </w:rPr>
      </w:pPr>
      <w:r>
        <w:rPr>
          <w:b/>
          <w:bCs/>
        </w:rPr>
        <w:t>Sibling Discounts</w:t>
      </w:r>
    </w:p>
    <w:p w14:paraId="082585EE" w14:textId="146CE621" w:rsidR="00666F5C" w:rsidRDefault="00666F5C" w:rsidP="00666F5C">
      <w:pPr>
        <w:pStyle w:val="Heading2"/>
        <w:spacing w:after="0"/>
        <w:rPr>
          <w:rFonts w:ascii="Calibri" w:hAnsi="Calibri"/>
          <w:sz w:val="24"/>
          <w:szCs w:val="24"/>
          <w14:ligatures w14:val="none"/>
        </w:rPr>
      </w:pPr>
      <w:r>
        <w:rPr>
          <w:rFonts w:ascii="Calibri" w:hAnsi="Calibri"/>
          <w:sz w:val="24"/>
          <w:szCs w:val="24"/>
          <w14:ligatures w14:val="none"/>
        </w:rPr>
        <w:t>Discounts are available for families with more than one student attending our school.</w:t>
      </w:r>
    </w:p>
    <w:p w14:paraId="30C545AC" w14:textId="77777777" w:rsidR="00A46DB5" w:rsidRDefault="00A46DB5" w:rsidP="00666F5C">
      <w:pPr>
        <w:pStyle w:val="Heading2"/>
        <w:spacing w:after="0"/>
        <w:rPr>
          <w:rFonts w:ascii="Calibri" w:hAnsi="Calibri"/>
          <w:sz w:val="24"/>
          <w:szCs w:val="24"/>
          <w14:ligatures w14:val="none"/>
        </w:rPr>
      </w:pPr>
    </w:p>
    <w:p w14:paraId="07D455D4" w14:textId="030A4F30" w:rsidR="00666F5C" w:rsidRDefault="00666F5C" w:rsidP="00666F5C">
      <w:pPr>
        <w:pStyle w:val="Heading2"/>
        <w:spacing w:after="0"/>
        <w:rPr>
          <w:rFonts w:ascii="Calibri" w:hAnsi="Calibri"/>
          <w:b/>
          <w:sz w:val="24"/>
          <w:szCs w:val="24"/>
          <w14:ligatures w14:val="none"/>
        </w:rPr>
      </w:pPr>
      <w:r w:rsidRPr="00666F5C">
        <w:rPr>
          <w:rFonts w:ascii="Calibri" w:hAnsi="Calibri"/>
          <w:b/>
          <w:sz w:val="24"/>
          <w:szCs w:val="24"/>
          <w14:ligatures w14:val="none"/>
        </w:rPr>
        <w:t>Full Fee 202</w:t>
      </w:r>
      <w:r w:rsidR="00D933AD">
        <w:rPr>
          <w:rFonts w:ascii="Calibri" w:hAnsi="Calibri"/>
          <w:b/>
          <w:sz w:val="24"/>
          <w:szCs w:val="24"/>
          <w14:ligatures w14:val="none"/>
        </w:rPr>
        <w:t>4</w:t>
      </w:r>
      <w:r w:rsidR="00DB0210">
        <w:rPr>
          <w:rFonts w:ascii="Calibri" w:hAnsi="Calibri"/>
          <w:b/>
          <w:sz w:val="24"/>
          <w:szCs w:val="24"/>
          <w14:ligatures w14:val="none"/>
        </w:rPr>
        <w:tab/>
      </w:r>
      <w:r w:rsidR="00DB0210">
        <w:rPr>
          <w:rFonts w:ascii="Calibri" w:hAnsi="Calibri"/>
          <w:b/>
          <w:sz w:val="24"/>
          <w:szCs w:val="24"/>
          <w14:ligatures w14:val="none"/>
        </w:rPr>
        <w:tab/>
      </w:r>
      <w:r w:rsidR="00DB0210">
        <w:rPr>
          <w:rFonts w:ascii="Calibri" w:hAnsi="Calibri"/>
          <w:b/>
          <w:sz w:val="24"/>
          <w:szCs w:val="24"/>
          <w14:ligatures w14:val="none"/>
        </w:rPr>
        <w:tab/>
      </w:r>
      <w:r w:rsidR="00DB0210">
        <w:rPr>
          <w:rFonts w:ascii="Calibri" w:hAnsi="Calibri"/>
          <w:b/>
          <w:sz w:val="24"/>
          <w:szCs w:val="24"/>
          <w14:ligatures w14:val="none"/>
        </w:rPr>
        <w:tab/>
      </w:r>
      <w:r w:rsidR="00DB0210">
        <w:rPr>
          <w:rFonts w:ascii="Calibri" w:hAnsi="Calibri"/>
          <w:b/>
          <w:sz w:val="24"/>
          <w:szCs w:val="24"/>
          <w14:ligatures w14:val="none"/>
        </w:rPr>
        <w:tab/>
      </w:r>
      <w:r w:rsidR="00DB0210">
        <w:rPr>
          <w:rFonts w:ascii="Calibri" w:hAnsi="Calibri"/>
          <w:b/>
          <w:sz w:val="24"/>
          <w:szCs w:val="24"/>
          <w14:ligatures w14:val="none"/>
        </w:rPr>
        <w:tab/>
      </w:r>
      <w:r w:rsidR="00C50E40">
        <w:rPr>
          <w:rFonts w:ascii="Calibri" w:hAnsi="Calibri"/>
          <w:b/>
          <w:sz w:val="24"/>
          <w:szCs w:val="24"/>
          <w14:ligatures w14:val="none"/>
        </w:rPr>
        <w:t>Lower Income Fee 202</w:t>
      </w:r>
      <w:r w:rsidR="00D933AD">
        <w:rPr>
          <w:rFonts w:ascii="Calibri" w:hAnsi="Calibri"/>
          <w:b/>
          <w:sz w:val="24"/>
          <w:szCs w:val="24"/>
          <w14:ligatures w14:val="none"/>
        </w:rPr>
        <w:t>4</w:t>
      </w:r>
      <w:r w:rsidR="00DB0210">
        <w:rPr>
          <w:rFonts w:ascii="Calibri" w:hAnsi="Calibri"/>
          <w:b/>
          <w:sz w:val="24"/>
          <w:szCs w:val="24"/>
          <w14:ligatures w14:val="none"/>
        </w:rPr>
        <w:tab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007"/>
        <w:gridCol w:w="1231"/>
        <w:gridCol w:w="902"/>
        <w:gridCol w:w="811"/>
        <w:gridCol w:w="1990"/>
        <w:gridCol w:w="1034"/>
        <w:gridCol w:w="1518"/>
      </w:tblGrid>
      <w:tr w:rsidR="00C50E40" w:rsidRPr="00666F5C" w14:paraId="1F215978" w14:textId="31EE9596" w:rsidTr="00C50E40">
        <w:trPr>
          <w:trHeight w:val="53"/>
        </w:trPr>
        <w:tc>
          <w:tcPr>
            <w:tcW w:w="2007" w:type="dxa"/>
          </w:tcPr>
          <w:p w14:paraId="31FBACCF" w14:textId="2FFE900E" w:rsidR="00C50E40" w:rsidRPr="00666F5C" w:rsidRDefault="004D5DD7" w:rsidP="004F0912">
            <w:pPr>
              <w:pStyle w:val="Heading2"/>
              <w:spacing w:after="0"/>
              <w:rPr>
                <w:rFonts w:ascii="Calibri" w:hAnsi="Calibri"/>
                <w:b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b/>
                <w:sz w:val="24"/>
                <w:szCs w:val="24"/>
                <w14:ligatures w14:val="none"/>
              </w:rPr>
              <w:t>No. of c</w:t>
            </w:r>
            <w:r w:rsidR="00C50E40">
              <w:rPr>
                <w:rFonts w:ascii="Calibri" w:hAnsi="Calibri"/>
                <w:b/>
                <w:sz w:val="24"/>
                <w:szCs w:val="24"/>
                <w14:ligatures w14:val="none"/>
              </w:rPr>
              <w:t>hildren</w:t>
            </w:r>
          </w:p>
        </w:tc>
        <w:tc>
          <w:tcPr>
            <w:tcW w:w="1231" w:type="dxa"/>
          </w:tcPr>
          <w:p w14:paraId="13C5ECCD" w14:textId="7B7FC7CB" w:rsidR="00C50E40" w:rsidRPr="00666F5C" w:rsidRDefault="00C50E40" w:rsidP="004F0912">
            <w:pPr>
              <w:pStyle w:val="Heading2"/>
              <w:spacing w:after="0"/>
              <w:rPr>
                <w:rFonts w:ascii="Calibri" w:hAnsi="Calibri"/>
                <w:b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b/>
                <w:sz w:val="24"/>
                <w:szCs w:val="24"/>
                <w14:ligatures w14:val="none"/>
              </w:rPr>
              <w:t>Fee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14:paraId="37AC7E20" w14:textId="54190EEF" w:rsidR="00C50E40" w:rsidRPr="00666F5C" w:rsidRDefault="00C50E40" w:rsidP="004F0912">
            <w:pPr>
              <w:pStyle w:val="Heading2"/>
              <w:spacing w:after="0"/>
              <w:rPr>
                <w:rFonts w:ascii="Calibri" w:hAnsi="Calibri"/>
                <w:b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b/>
                <w:sz w:val="24"/>
                <w:szCs w:val="24"/>
                <w14:ligatures w14:val="none"/>
              </w:rPr>
              <w:t>Total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74371" w14:textId="77777777" w:rsidR="00C50E40" w:rsidRDefault="00C50E40" w:rsidP="004F0912">
            <w:pPr>
              <w:pStyle w:val="Heading2"/>
              <w:spacing w:after="0"/>
              <w:rPr>
                <w:rFonts w:ascii="Calibri" w:hAnsi="Calibri"/>
                <w:b/>
                <w:sz w:val="24"/>
                <w:szCs w:val="24"/>
                <w14:ligatures w14:val="none"/>
              </w:rPr>
            </w:pPr>
          </w:p>
        </w:tc>
        <w:tc>
          <w:tcPr>
            <w:tcW w:w="1990" w:type="dxa"/>
            <w:tcBorders>
              <w:left w:val="single" w:sz="4" w:space="0" w:color="auto"/>
            </w:tcBorders>
          </w:tcPr>
          <w:p w14:paraId="247BE22A" w14:textId="764D76BA" w:rsidR="00C50E40" w:rsidRDefault="00C50E40" w:rsidP="004F0912">
            <w:pPr>
              <w:pStyle w:val="Heading2"/>
              <w:spacing w:after="0"/>
              <w:rPr>
                <w:rFonts w:ascii="Calibri" w:hAnsi="Calibri"/>
                <w:b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b/>
                <w:sz w:val="24"/>
                <w:szCs w:val="24"/>
                <w14:ligatures w14:val="none"/>
              </w:rPr>
              <w:t>No. of children</w:t>
            </w:r>
          </w:p>
        </w:tc>
        <w:tc>
          <w:tcPr>
            <w:tcW w:w="1034" w:type="dxa"/>
          </w:tcPr>
          <w:p w14:paraId="01158698" w14:textId="5EB373B9" w:rsidR="00C50E40" w:rsidRDefault="00C50E40" w:rsidP="004F0912">
            <w:pPr>
              <w:pStyle w:val="Heading2"/>
              <w:spacing w:after="0"/>
              <w:rPr>
                <w:rFonts w:ascii="Calibri" w:hAnsi="Calibri"/>
                <w:b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b/>
                <w:sz w:val="24"/>
                <w:szCs w:val="24"/>
                <w14:ligatures w14:val="none"/>
              </w:rPr>
              <w:t>Fee</w:t>
            </w:r>
          </w:p>
        </w:tc>
        <w:tc>
          <w:tcPr>
            <w:tcW w:w="1518" w:type="dxa"/>
          </w:tcPr>
          <w:p w14:paraId="28ED6958" w14:textId="1F40FC7D" w:rsidR="00C50E40" w:rsidRDefault="00C50E40" w:rsidP="004F0912">
            <w:pPr>
              <w:pStyle w:val="Heading2"/>
              <w:spacing w:after="0"/>
              <w:rPr>
                <w:rFonts w:ascii="Calibri" w:hAnsi="Calibri"/>
                <w:b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b/>
                <w:sz w:val="24"/>
                <w:szCs w:val="24"/>
                <w14:ligatures w14:val="none"/>
              </w:rPr>
              <w:t>Total</w:t>
            </w:r>
          </w:p>
        </w:tc>
      </w:tr>
      <w:tr w:rsidR="00C50E40" w:rsidRPr="00666F5C" w14:paraId="79EABA05" w14:textId="36EF243E" w:rsidTr="00C50E40">
        <w:trPr>
          <w:trHeight w:val="46"/>
        </w:trPr>
        <w:tc>
          <w:tcPr>
            <w:tcW w:w="2007" w:type="dxa"/>
          </w:tcPr>
          <w:p w14:paraId="5D720305" w14:textId="4030B9AA" w:rsidR="00C50E40" w:rsidRPr="00DB0210" w:rsidRDefault="00C50E40" w:rsidP="004F0912">
            <w:pPr>
              <w:pStyle w:val="Heading2"/>
              <w:spacing w:after="0"/>
              <w:rPr>
                <w:rFonts w:ascii="Calibri" w:hAnsi="Calibri"/>
                <w:sz w:val="22"/>
                <w:szCs w:val="22"/>
                <w14:ligatures w14:val="none"/>
              </w:rPr>
            </w:pPr>
            <w:r w:rsidRPr="00DB0210">
              <w:rPr>
                <w:rFonts w:ascii="Calibri" w:hAnsi="Calibri"/>
                <w:sz w:val="22"/>
                <w:szCs w:val="22"/>
                <w14:ligatures w14:val="none"/>
              </w:rPr>
              <w:t>1</w:t>
            </w:r>
            <w:r w:rsidRPr="00DB0210">
              <w:rPr>
                <w:rFonts w:ascii="Calibri" w:hAnsi="Calibri"/>
                <w:sz w:val="22"/>
                <w:szCs w:val="22"/>
                <w:vertAlign w:val="superscript"/>
                <w14:ligatures w14:val="none"/>
              </w:rPr>
              <w:t>st</w:t>
            </w:r>
            <w:r w:rsidRPr="00DB0210">
              <w:rPr>
                <w:rFonts w:ascii="Calibri" w:hAnsi="Calibri"/>
                <w:sz w:val="22"/>
                <w:szCs w:val="22"/>
                <w14:ligatures w14:val="none"/>
              </w:rPr>
              <w:t xml:space="preserve"> child</w:t>
            </w:r>
          </w:p>
        </w:tc>
        <w:tc>
          <w:tcPr>
            <w:tcW w:w="1231" w:type="dxa"/>
          </w:tcPr>
          <w:p w14:paraId="27A62DFE" w14:textId="10F82FB4" w:rsidR="00C50E40" w:rsidRPr="00DB0210" w:rsidRDefault="00C50E40" w:rsidP="004F0912">
            <w:pPr>
              <w:pStyle w:val="Heading2"/>
              <w:spacing w:after="0"/>
              <w:rPr>
                <w:rFonts w:ascii="Calibri" w:hAnsi="Calibri"/>
                <w:sz w:val="22"/>
                <w:szCs w:val="22"/>
                <w14:ligatures w14:val="none"/>
              </w:rPr>
            </w:pPr>
            <w:r w:rsidRPr="00DB0210">
              <w:rPr>
                <w:rFonts w:ascii="Calibri" w:hAnsi="Calibri"/>
                <w:sz w:val="22"/>
                <w:szCs w:val="22"/>
                <w14:ligatures w14:val="none"/>
              </w:rPr>
              <w:t>$2,480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14:paraId="1CB4B15C" w14:textId="10DD32F2" w:rsidR="00C50E40" w:rsidRPr="00DB0210" w:rsidRDefault="00C50E40" w:rsidP="004F0912">
            <w:pPr>
              <w:pStyle w:val="Heading2"/>
              <w:spacing w:after="0"/>
              <w:rPr>
                <w:rFonts w:ascii="Calibri" w:hAnsi="Calibri"/>
                <w:sz w:val="22"/>
                <w:szCs w:val="22"/>
                <w14:ligatures w14:val="none"/>
              </w:rPr>
            </w:pPr>
            <w:r w:rsidRPr="00DB0210">
              <w:rPr>
                <w:rFonts w:ascii="Calibri" w:hAnsi="Calibri"/>
                <w:sz w:val="22"/>
                <w:szCs w:val="22"/>
                <w14:ligatures w14:val="none"/>
              </w:rPr>
              <w:t>$2,480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B4A0E" w14:textId="77777777" w:rsidR="00C50E40" w:rsidRPr="00DB0210" w:rsidRDefault="00C50E40" w:rsidP="004F0912">
            <w:pPr>
              <w:pStyle w:val="Heading2"/>
              <w:spacing w:after="0"/>
              <w:rPr>
                <w:rFonts w:ascii="Calibri" w:hAnsi="Calibri"/>
                <w:sz w:val="22"/>
                <w:szCs w:val="22"/>
                <w14:ligatures w14:val="none"/>
              </w:rPr>
            </w:pPr>
          </w:p>
        </w:tc>
        <w:tc>
          <w:tcPr>
            <w:tcW w:w="1990" w:type="dxa"/>
            <w:tcBorders>
              <w:left w:val="single" w:sz="4" w:space="0" w:color="auto"/>
            </w:tcBorders>
          </w:tcPr>
          <w:p w14:paraId="7C858E98" w14:textId="58B9B205" w:rsidR="00C50E40" w:rsidRPr="00DB0210" w:rsidRDefault="00C50E40" w:rsidP="004F0912">
            <w:pPr>
              <w:pStyle w:val="Heading2"/>
              <w:spacing w:after="0"/>
              <w:rPr>
                <w:rFonts w:ascii="Calibri" w:hAnsi="Calibri"/>
                <w:sz w:val="22"/>
                <w:szCs w:val="22"/>
                <w14:ligatures w14:val="none"/>
              </w:rPr>
            </w:pPr>
            <w:r>
              <w:rPr>
                <w:rFonts w:ascii="Calibri" w:hAnsi="Calibri"/>
                <w:sz w:val="22"/>
                <w:szCs w:val="22"/>
                <w14:ligatures w14:val="none"/>
              </w:rPr>
              <w:t>1</w:t>
            </w:r>
            <w:r w:rsidRPr="00C50E40">
              <w:rPr>
                <w:rFonts w:ascii="Calibri" w:hAnsi="Calibri"/>
                <w:sz w:val="22"/>
                <w:szCs w:val="22"/>
                <w:vertAlign w:val="superscript"/>
                <w14:ligatures w14:val="none"/>
              </w:rPr>
              <w:t>st</w:t>
            </w:r>
            <w:r>
              <w:rPr>
                <w:rFonts w:ascii="Calibri" w:hAnsi="Calibri"/>
                <w:sz w:val="22"/>
                <w:szCs w:val="22"/>
                <w14:ligatures w14:val="none"/>
              </w:rPr>
              <w:t xml:space="preserve"> child</w:t>
            </w:r>
          </w:p>
        </w:tc>
        <w:tc>
          <w:tcPr>
            <w:tcW w:w="1034" w:type="dxa"/>
          </w:tcPr>
          <w:p w14:paraId="74767543" w14:textId="1DC576B9" w:rsidR="00C50E40" w:rsidRPr="00DB0210" w:rsidRDefault="00C50E40" w:rsidP="004F0912">
            <w:pPr>
              <w:pStyle w:val="Heading2"/>
              <w:spacing w:after="0"/>
              <w:rPr>
                <w:rFonts w:ascii="Calibri" w:hAnsi="Calibri"/>
                <w:sz w:val="22"/>
                <w:szCs w:val="22"/>
                <w14:ligatures w14:val="none"/>
              </w:rPr>
            </w:pPr>
            <w:r>
              <w:rPr>
                <w:rFonts w:ascii="Calibri" w:hAnsi="Calibri"/>
                <w:sz w:val="22"/>
                <w:szCs w:val="22"/>
                <w14:ligatures w14:val="none"/>
              </w:rPr>
              <w:t>$1,488</w:t>
            </w:r>
          </w:p>
        </w:tc>
        <w:tc>
          <w:tcPr>
            <w:tcW w:w="1518" w:type="dxa"/>
          </w:tcPr>
          <w:p w14:paraId="0F4E3F1C" w14:textId="7409EE29" w:rsidR="00C50E40" w:rsidRPr="00DB0210" w:rsidRDefault="00C50E40" w:rsidP="004F0912">
            <w:pPr>
              <w:pStyle w:val="Heading2"/>
              <w:spacing w:after="0"/>
              <w:rPr>
                <w:rFonts w:ascii="Calibri" w:hAnsi="Calibri"/>
                <w:sz w:val="22"/>
                <w:szCs w:val="22"/>
                <w14:ligatures w14:val="none"/>
              </w:rPr>
            </w:pPr>
            <w:r>
              <w:rPr>
                <w:rFonts w:ascii="Calibri" w:hAnsi="Calibri"/>
                <w:sz w:val="22"/>
                <w:szCs w:val="22"/>
                <w14:ligatures w14:val="none"/>
              </w:rPr>
              <w:t>$1,488</w:t>
            </w:r>
          </w:p>
        </w:tc>
      </w:tr>
      <w:tr w:rsidR="00C50E40" w:rsidRPr="00666F5C" w14:paraId="2883F81A" w14:textId="47D7CDD1" w:rsidTr="00C50E40">
        <w:trPr>
          <w:trHeight w:val="62"/>
        </w:trPr>
        <w:tc>
          <w:tcPr>
            <w:tcW w:w="2007" w:type="dxa"/>
          </w:tcPr>
          <w:p w14:paraId="413EFD30" w14:textId="67D91816" w:rsidR="00C50E40" w:rsidRPr="00DB0210" w:rsidRDefault="00C50E40" w:rsidP="004F0912">
            <w:pPr>
              <w:pStyle w:val="Heading2"/>
              <w:spacing w:after="0"/>
              <w:rPr>
                <w:rFonts w:ascii="Calibri" w:hAnsi="Calibri"/>
                <w:sz w:val="22"/>
                <w:szCs w:val="22"/>
                <w14:ligatures w14:val="none"/>
              </w:rPr>
            </w:pPr>
            <w:r w:rsidRPr="00DB0210">
              <w:rPr>
                <w:rFonts w:ascii="Calibri" w:hAnsi="Calibri"/>
                <w:sz w:val="22"/>
                <w:szCs w:val="22"/>
                <w14:ligatures w14:val="none"/>
              </w:rPr>
              <w:t>2</w:t>
            </w:r>
            <w:r w:rsidRPr="00DB0210">
              <w:rPr>
                <w:rFonts w:ascii="Calibri" w:hAnsi="Calibri"/>
                <w:sz w:val="22"/>
                <w:szCs w:val="22"/>
                <w:vertAlign w:val="superscript"/>
                <w14:ligatures w14:val="none"/>
              </w:rPr>
              <w:t>nd</w:t>
            </w:r>
            <w:r>
              <w:rPr>
                <w:rFonts w:ascii="Calibri" w:hAnsi="Calibri"/>
                <w:sz w:val="22"/>
                <w:szCs w:val="22"/>
                <w14:ligatures w14:val="none"/>
              </w:rPr>
              <w:t xml:space="preserve"> c</w:t>
            </w:r>
            <w:r w:rsidRPr="00DB0210">
              <w:rPr>
                <w:rFonts w:ascii="Calibri" w:hAnsi="Calibri"/>
                <w:sz w:val="22"/>
                <w:szCs w:val="22"/>
                <w14:ligatures w14:val="none"/>
              </w:rPr>
              <w:t>hild</w:t>
            </w:r>
          </w:p>
        </w:tc>
        <w:tc>
          <w:tcPr>
            <w:tcW w:w="1231" w:type="dxa"/>
          </w:tcPr>
          <w:p w14:paraId="6AB7527A" w14:textId="6A172610" w:rsidR="00C50E40" w:rsidRPr="00DB0210" w:rsidRDefault="00C50E40" w:rsidP="004F0912">
            <w:pPr>
              <w:pStyle w:val="Heading2"/>
              <w:spacing w:after="0"/>
              <w:rPr>
                <w:rFonts w:ascii="Calibri" w:hAnsi="Calibri"/>
                <w:sz w:val="22"/>
                <w:szCs w:val="22"/>
                <w14:ligatures w14:val="none"/>
              </w:rPr>
            </w:pPr>
            <w:r w:rsidRPr="00DB0210">
              <w:rPr>
                <w:rFonts w:ascii="Calibri" w:hAnsi="Calibri"/>
                <w:sz w:val="22"/>
                <w:szCs w:val="22"/>
                <w14:ligatures w14:val="none"/>
              </w:rPr>
              <w:t>$1,860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14:paraId="6240C889" w14:textId="26BCA7A0" w:rsidR="00C50E40" w:rsidRPr="00DB0210" w:rsidRDefault="00C50E40" w:rsidP="004F0912">
            <w:pPr>
              <w:pStyle w:val="Heading2"/>
              <w:spacing w:after="0"/>
              <w:rPr>
                <w:rFonts w:ascii="Calibri" w:hAnsi="Calibri"/>
                <w:sz w:val="22"/>
                <w:szCs w:val="22"/>
                <w14:ligatures w14:val="none"/>
              </w:rPr>
            </w:pPr>
            <w:r w:rsidRPr="00DB0210">
              <w:rPr>
                <w:rFonts w:ascii="Calibri" w:hAnsi="Calibri"/>
                <w:sz w:val="22"/>
                <w:szCs w:val="22"/>
                <w14:ligatures w14:val="none"/>
              </w:rPr>
              <w:t>$4,340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820B2" w14:textId="77777777" w:rsidR="00C50E40" w:rsidRPr="00DB0210" w:rsidRDefault="00C50E40" w:rsidP="004F0912">
            <w:pPr>
              <w:pStyle w:val="Heading2"/>
              <w:spacing w:after="0"/>
              <w:rPr>
                <w:rFonts w:ascii="Calibri" w:hAnsi="Calibri"/>
                <w:sz w:val="22"/>
                <w:szCs w:val="22"/>
                <w14:ligatures w14:val="none"/>
              </w:rPr>
            </w:pPr>
          </w:p>
        </w:tc>
        <w:tc>
          <w:tcPr>
            <w:tcW w:w="1990" w:type="dxa"/>
            <w:tcBorders>
              <w:left w:val="single" w:sz="4" w:space="0" w:color="auto"/>
            </w:tcBorders>
          </w:tcPr>
          <w:p w14:paraId="169272FB" w14:textId="2831A14E" w:rsidR="00C50E40" w:rsidRPr="00DB0210" w:rsidRDefault="00C50E40" w:rsidP="004F0912">
            <w:pPr>
              <w:pStyle w:val="Heading2"/>
              <w:spacing w:after="0"/>
              <w:rPr>
                <w:rFonts w:ascii="Calibri" w:hAnsi="Calibri"/>
                <w:sz w:val="22"/>
                <w:szCs w:val="22"/>
                <w14:ligatures w14:val="none"/>
              </w:rPr>
            </w:pPr>
            <w:r>
              <w:rPr>
                <w:rFonts w:ascii="Calibri" w:hAnsi="Calibri"/>
                <w:sz w:val="22"/>
                <w:szCs w:val="22"/>
                <w14:ligatures w14:val="none"/>
              </w:rPr>
              <w:t>2</w:t>
            </w:r>
            <w:r w:rsidRPr="00C50E40">
              <w:rPr>
                <w:rFonts w:ascii="Calibri" w:hAnsi="Calibri"/>
                <w:sz w:val="22"/>
                <w:szCs w:val="22"/>
                <w:vertAlign w:val="superscript"/>
                <w14:ligatures w14:val="none"/>
              </w:rPr>
              <w:t>nd</w:t>
            </w:r>
            <w:r>
              <w:rPr>
                <w:rFonts w:ascii="Calibri" w:hAnsi="Calibri"/>
                <w:sz w:val="22"/>
                <w:szCs w:val="22"/>
                <w14:ligatures w14:val="none"/>
              </w:rPr>
              <w:t xml:space="preserve"> child</w:t>
            </w:r>
          </w:p>
        </w:tc>
        <w:tc>
          <w:tcPr>
            <w:tcW w:w="1034" w:type="dxa"/>
          </w:tcPr>
          <w:p w14:paraId="0EFEAE1B" w14:textId="2702839F" w:rsidR="00C50E40" w:rsidRPr="00DB0210" w:rsidRDefault="00C50E40" w:rsidP="004F0912">
            <w:pPr>
              <w:pStyle w:val="Heading2"/>
              <w:spacing w:after="0"/>
              <w:rPr>
                <w:rFonts w:ascii="Calibri" w:hAnsi="Calibri"/>
                <w:sz w:val="22"/>
                <w:szCs w:val="22"/>
                <w14:ligatures w14:val="none"/>
              </w:rPr>
            </w:pPr>
            <w:r>
              <w:rPr>
                <w:rFonts w:ascii="Calibri" w:hAnsi="Calibri"/>
                <w:sz w:val="22"/>
                <w:szCs w:val="22"/>
                <w14:ligatures w14:val="none"/>
              </w:rPr>
              <w:t>$1,116</w:t>
            </w:r>
          </w:p>
        </w:tc>
        <w:tc>
          <w:tcPr>
            <w:tcW w:w="1518" w:type="dxa"/>
          </w:tcPr>
          <w:p w14:paraId="3CFFB10E" w14:textId="7F3932CC" w:rsidR="00C50E40" w:rsidRPr="00DB0210" w:rsidRDefault="00C50E40" w:rsidP="004F0912">
            <w:pPr>
              <w:pStyle w:val="Heading2"/>
              <w:spacing w:after="0"/>
              <w:rPr>
                <w:rFonts w:ascii="Calibri" w:hAnsi="Calibri"/>
                <w:sz w:val="22"/>
                <w:szCs w:val="22"/>
                <w14:ligatures w14:val="none"/>
              </w:rPr>
            </w:pPr>
            <w:r>
              <w:rPr>
                <w:rFonts w:ascii="Calibri" w:hAnsi="Calibri"/>
                <w:sz w:val="22"/>
                <w:szCs w:val="22"/>
                <w14:ligatures w14:val="none"/>
              </w:rPr>
              <w:t>$2,604</w:t>
            </w:r>
          </w:p>
        </w:tc>
      </w:tr>
      <w:tr w:rsidR="00C50E40" w:rsidRPr="00666F5C" w14:paraId="428A92F7" w14:textId="38382FAB" w:rsidTr="00C50E40">
        <w:trPr>
          <w:trHeight w:val="34"/>
        </w:trPr>
        <w:tc>
          <w:tcPr>
            <w:tcW w:w="2007" w:type="dxa"/>
          </w:tcPr>
          <w:p w14:paraId="71C2357B" w14:textId="40B2ADB1" w:rsidR="00C50E40" w:rsidRPr="00DB0210" w:rsidRDefault="00C50E40" w:rsidP="004F0912">
            <w:pPr>
              <w:pStyle w:val="Heading2"/>
              <w:spacing w:after="0"/>
              <w:rPr>
                <w:rFonts w:ascii="Calibri" w:hAnsi="Calibri"/>
                <w:sz w:val="22"/>
                <w:szCs w:val="22"/>
                <w14:ligatures w14:val="none"/>
              </w:rPr>
            </w:pPr>
            <w:r w:rsidRPr="00DB0210">
              <w:rPr>
                <w:rFonts w:ascii="Calibri" w:hAnsi="Calibri"/>
                <w:sz w:val="22"/>
                <w:szCs w:val="22"/>
                <w14:ligatures w14:val="none"/>
              </w:rPr>
              <w:t>3 or more children</w:t>
            </w:r>
          </w:p>
        </w:tc>
        <w:tc>
          <w:tcPr>
            <w:tcW w:w="1231" w:type="dxa"/>
          </w:tcPr>
          <w:p w14:paraId="692BD5E9" w14:textId="71FE6DBE" w:rsidR="00C50E40" w:rsidRPr="00DB0210" w:rsidRDefault="00C50E40" w:rsidP="004F0912">
            <w:pPr>
              <w:pStyle w:val="Heading2"/>
              <w:spacing w:after="0"/>
              <w:rPr>
                <w:rFonts w:ascii="Calibri" w:hAnsi="Calibri"/>
                <w:sz w:val="22"/>
                <w:szCs w:val="22"/>
                <w14:ligatures w14:val="none"/>
              </w:rPr>
            </w:pPr>
            <w:r w:rsidRPr="00DB0210">
              <w:rPr>
                <w:rFonts w:ascii="Calibri" w:hAnsi="Calibri"/>
                <w:sz w:val="22"/>
                <w:szCs w:val="22"/>
                <w14:ligatures w14:val="none"/>
              </w:rPr>
              <w:t>$1,488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14:paraId="1CB0A604" w14:textId="67041091" w:rsidR="00C50E40" w:rsidRPr="00DB0210" w:rsidRDefault="00C50E40" w:rsidP="004F0912">
            <w:pPr>
              <w:pStyle w:val="Heading2"/>
              <w:spacing w:after="0"/>
              <w:rPr>
                <w:rFonts w:ascii="Calibri" w:hAnsi="Calibri"/>
                <w:sz w:val="22"/>
                <w:szCs w:val="22"/>
                <w14:ligatures w14:val="none"/>
              </w:rPr>
            </w:pPr>
            <w:r w:rsidRPr="00DB0210">
              <w:rPr>
                <w:rFonts w:ascii="Calibri" w:hAnsi="Calibri"/>
                <w:sz w:val="22"/>
                <w:szCs w:val="22"/>
                <w14:ligatures w14:val="none"/>
              </w:rPr>
              <w:t>$5,828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B3F32" w14:textId="77777777" w:rsidR="00C50E40" w:rsidRPr="00DB0210" w:rsidRDefault="00C50E40" w:rsidP="004F0912">
            <w:pPr>
              <w:pStyle w:val="Heading2"/>
              <w:spacing w:after="0"/>
              <w:rPr>
                <w:rFonts w:ascii="Calibri" w:hAnsi="Calibri"/>
                <w:sz w:val="22"/>
                <w:szCs w:val="22"/>
                <w14:ligatures w14:val="none"/>
              </w:rPr>
            </w:pPr>
          </w:p>
        </w:tc>
        <w:tc>
          <w:tcPr>
            <w:tcW w:w="1990" w:type="dxa"/>
            <w:tcBorders>
              <w:left w:val="single" w:sz="4" w:space="0" w:color="auto"/>
            </w:tcBorders>
          </w:tcPr>
          <w:p w14:paraId="5DD6A480" w14:textId="548525B4" w:rsidR="00C50E40" w:rsidRPr="00DB0210" w:rsidRDefault="00C50E40" w:rsidP="004F0912">
            <w:pPr>
              <w:pStyle w:val="Heading2"/>
              <w:spacing w:after="0"/>
              <w:rPr>
                <w:rFonts w:ascii="Calibri" w:hAnsi="Calibri"/>
                <w:sz w:val="22"/>
                <w:szCs w:val="22"/>
                <w14:ligatures w14:val="none"/>
              </w:rPr>
            </w:pPr>
            <w:r>
              <w:rPr>
                <w:rFonts w:ascii="Calibri" w:hAnsi="Calibri"/>
                <w:sz w:val="22"/>
                <w:szCs w:val="22"/>
                <w14:ligatures w14:val="none"/>
              </w:rPr>
              <w:t>3 or more children</w:t>
            </w:r>
          </w:p>
        </w:tc>
        <w:tc>
          <w:tcPr>
            <w:tcW w:w="1034" w:type="dxa"/>
          </w:tcPr>
          <w:p w14:paraId="0CAE6F47" w14:textId="70696229" w:rsidR="00C50E40" w:rsidRPr="00DB0210" w:rsidRDefault="00C50E40" w:rsidP="004F0912">
            <w:pPr>
              <w:pStyle w:val="Heading2"/>
              <w:spacing w:after="0"/>
              <w:rPr>
                <w:rFonts w:ascii="Calibri" w:hAnsi="Calibri"/>
                <w:sz w:val="22"/>
                <w:szCs w:val="22"/>
                <w14:ligatures w14:val="none"/>
              </w:rPr>
            </w:pPr>
            <w:r>
              <w:rPr>
                <w:rFonts w:ascii="Calibri" w:hAnsi="Calibri"/>
                <w:sz w:val="22"/>
                <w:szCs w:val="22"/>
                <w14:ligatures w14:val="none"/>
              </w:rPr>
              <w:t>$893</w:t>
            </w:r>
          </w:p>
        </w:tc>
        <w:tc>
          <w:tcPr>
            <w:tcW w:w="1518" w:type="dxa"/>
          </w:tcPr>
          <w:p w14:paraId="5E8974D5" w14:textId="0DA1194D" w:rsidR="00C50E40" w:rsidRPr="00DB0210" w:rsidRDefault="00C50E40" w:rsidP="004F0912">
            <w:pPr>
              <w:pStyle w:val="Heading2"/>
              <w:spacing w:after="0"/>
              <w:rPr>
                <w:rFonts w:ascii="Calibri" w:hAnsi="Calibri"/>
                <w:sz w:val="22"/>
                <w:szCs w:val="22"/>
                <w14:ligatures w14:val="none"/>
              </w:rPr>
            </w:pPr>
            <w:r>
              <w:rPr>
                <w:rFonts w:ascii="Calibri" w:hAnsi="Calibri"/>
                <w:sz w:val="22"/>
                <w:szCs w:val="22"/>
                <w14:ligatures w14:val="none"/>
              </w:rPr>
              <w:t>$3,497</w:t>
            </w:r>
          </w:p>
        </w:tc>
      </w:tr>
    </w:tbl>
    <w:p w14:paraId="58C1ED11" w14:textId="77777777" w:rsidR="00291F00" w:rsidRDefault="00291F00" w:rsidP="009B3FB0"/>
    <w:p w14:paraId="42126F6B" w14:textId="58493CD4" w:rsidR="00CD7343" w:rsidRDefault="00CD7343" w:rsidP="009B3FB0"/>
    <w:p w14:paraId="0CAF6C82" w14:textId="40E26263" w:rsidR="00CD7343" w:rsidRDefault="00CD7343" w:rsidP="009B3FB0"/>
    <w:p w14:paraId="47E53B6B" w14:textId="40254E57" w:rsidR="00CD7343" w:rsidRDefault="00CD7343" w:rsidP="009B3FB0"/>
    <w:p w14:paraId="0199555E" w14:textId="782CFBA7" w:rsidR="00545C76" w:rsidRDefault="00545C76" w:rsidP="00545C76">
      <w:pPr>
        <w:widowControl w:val="0"/>
        <w:rPr>
          <w:b/>
          <w:bCs/>
          <w:u w:val="single"/>
        </w:rPr>
      </w:pPr>
      <w:r w:rsidRPr="00637F88">
        <w:rPr>
          <w:b/>
          <w:bCs/>
          <w:u w:val="single"/>
        </w:rPr>
        <w:t>Payment Methods</w:t>
      </w:r>
    </w:p>
    <w:p w14:paraId="70BF2695" w14:textId="77777777" w:rsidR="00637F88" w:rsidRPr="00637F88" w:rsidRDefault="00637F88" w:rsidP="00545C76">
      <w:pPr>
        <w:widowControl w:val="0"/>
        <w:rPr>
          <w:u w:val="single"/>
          <w:lang w:eastAsia="en-AU"/>
        </w:rPr>
      </w:pPr>
    </w:p>
    <w:p w14:paraId="35CA0188" w14:textId="4CF7A3C6" w:rsidR="00643D75" w:rsidRDefault="00545C76" w:rsidP="00545C76">
      <w:pPr>
        <w:widowControl w:val="0"/>
        <w:rPr>
          <w:b/>
        </w:rPr>
      </w:pPr>
      <w:r w:rsidRPr="00637F88">
        <w:rPr>
          <w:b/>
        </w:rPr>
        <w:t>We encourage all families to set up weekly, fortnightly or monthly direct debit payments.</w:t>
      </w:r>
    </w:p>
    <w:p w14:paraId="5352D113" w14:textId="77777777" w:rsidR="00A46DB5" w:rsidRPr="00637F88" w:rsidRDefault="00A46DB5" w:rsidP="00545C76">
      <w:pPr>
        <w:widowControl w:val="0"/>
        <w:rPr>
          <w:b/>
        </w:rPr>
      </w:pPr>
    </w:p>
    <w:p w14:paraId="4712CAD4" w14:textId="7EB6BDDB" w:rsidR="00643D75" w:rsidRDefault="00643D75" w:rsidP="00545C76">
      <w:pPr>
        <w:widowControl w:val="0"/>
        <w:rPr>
          <w:b/>
        </w:rPr>
      </w:pPr>
      <w:r>
        <w:rPr>
          <w:b/>
        </w:rPr>
        <w:t>Direct Debit form</w:t>
      </w:r>
      <w:r w:rsidR="00013372">
        <w:rPr>
          <w:b/>
        </w:rPr>
        <w:t>s</w:t>
      </w:r>
      <w:r>
        <w:rPr>
          <w:b/>
        </w:rPr>
        <w:t xml:space="preserve"> </w:t>
      </w:r>
      <w:r w:rsidR="00013372">
        <w:rPr>
          <w:b/>
        </w:rPr>
        <w:t>can be found on our website: Enrolment/Fees/Direct Debit Request</w:t>
      </w:r>
    </w:p>
    <w:p w14:paraId="43AD4CEB" w14:textId="77777777" w:rsidR="00A46DB5" w:rsidRDefault="00A46DB5" w:rsidP="00545C76">
      <w:pPr>
        <w:widowControl w:val="0"/>
        <w:rPr>
          <w:b/>
        </w:rPr>
      </w:pPr>
    </w:p>
    <w:p w14:paraId="347200F0" w14:textId="31435426" w:rsidR="00643D75" w:rsidRPr="00A46DB5" w:rsidRDefault="00643D75" w:rsidP="00545C76">
      <w:pPr>
        <w:widowControl w:val="0"/>
      </w:pPr>
      <w:r w:rsidRPr="00A46DB5">
        <w:t>If you have a current direct debit and it continues into 202</w:t>
      </w:r>
      <w:r w:rsidR="00797AB5">
        <w:t>4</w:t>
      </w:r>
      <w:r w:rsidRPr="00A46DB5">
        <w:t>, you are not required to do anything</w:t>
      </w:r>
      <w:r w:rsidR="00B51793">
        <w:t xml:space="preserve"> unless the number of children attending Whitefriars has changed</w:t>
      </w:r>
      <w:r w:rsidR="00013372">
        <w:t xml:space="preserve"> or if it is </w:t>
      </w:r>
      <w:r w:rsidR="00D53147">
        <w:t>insufficient to cover the fees.</w:t>
      </w:r>
      <w:r w:rsidRPr="00A46DB5">
        <w:t xml:space="preserve"> </w:t>
      </w:r>
    </w:p>
    <w:p w14:paraId="726C9857" w14:textId="6A6CBA65" w:rsidR="00545C76" w:rsidRDefault="00643D75" w:rsidP="00545C76">
      <w:pPr>
        <w:widowControl w:val="0"/>
      </w:pPr>
      <w:r w:rsidRPr="00A46DB5">
        <w:t>For clarification regardin</w:t>
      </w:r>
      <w:r w:rsidR="00A46DB5" w:rsidRPr="00A46DB5">
        <w:t>g direct debits please see our Finance O</w:t>
      </w:r>
      <w:r w:rsidRPr="00A46DB5">
        <w:t>ffice</w:t>
      </w:r>
      <w:r w:rsidR="00A46DB5" w:rsidRPr="00A46DB5">
        <w:t>r i</w:t>
      </w:r>
      <w:r w:rsidRPr="00A46DB5">
        <w:t>n the front office.</w:t>
      </w:r>
    </w:p>
    <w:p w14:paraId="6837AB87" w14:textId="77777777" w:rsidR="00A46DB5" w:rsidRPr="00A46DB5" w:rsidRDefault="00A46DB5" w:rsidP="00545C76">
      <w:pPr>
        <w:widowControl w:val="0"/>
      </w:pPr>
    </w:p>
    <w:p w14:paraId="4B1D2D5A" w14:textId="36C05024" w:rsidR="00545C76" w:rsidRDefault="00545C76" w:rsidP="00545C76">
      <w:pPr>
        <w:widowControl w:val="0"/>
      </w:pPr>
      <w: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7"/>
        <w:gridCol w:w="2037"/>
        <w:gridCol w:w="2038"/>
        <w:gridCol w:w="2038"/>
        <w:gridCol w:w="2038"/>
      </w:tblGrid>
      <w:tr w:rsidR="00FD495E" w14:paraId="45CBCE93" w14:textId="77777777" w:rsidTr="00FD495E">
        <w:tc>
          <w:tcPr>
            <w:tcW w:w="2037" w:type="dxa"/>
          </w:tcPr>
          <w:p w14:paraId="452D84EE" w14:textId="34833407" w:rsidR="00FD495E" w:rsidRPr="00FD495E" w:rsidRDefault="00FD495E" w:rsidP="00545C76">
            <w:pPr>
              <w:widowControl w:val="0"/>
              <w:rPr>
                <w:b/>
                <w:u w:val="single"/>
              </w:rPr>
            </w:pPr>
            <w:r w:rsidRPr="00FD495E">
              <w:rPr>
                <w:b/>
                <w:u w:val="single"/>
              </w:rPr>
              <w:t>Full Fee 202</w:t>
            </w:r>
            <w:r w:rsidR="00797AB5">
              <w:rPr>
                <w:b/>
                <w:u w:val="single"/>
              </w:rPr>
              <w:t>4</w:t>
            </w:r>
          </w:p>
        </w:tc>
        <w:tc>
          <w:tcPr>
            <w:tcW w:w="2037" w:type="dxa"/>
          </w:tcPr>
          <w:p w14:paraId="7E5187BB" w14:textId="18A49868" w:rsidR="00FD495E" w:rsidRDefault="00F023C3" w:rsidP="004D5DD7">
            <w:pPr>
              <w:widowControl w:val="0"/>
              <w:jc w:val="center"/>
            </w:pPr>
            <w:r>
              <w:t>Weekly (approximate over 44 weeks)</w:t>
            </w:r>
          </w:p>
        </w:tc>
        <w:tc>
          <w:tcPr>
            <w:tcW w:w="2038" w:type="dxa"/>
          </w:tcPr>
          <w:p w14:paraId="18D11902" w14:textId="0B4710E0" w:rsidR="00FD495E" w:rsidRDefault="00F023C3" w:rsidP="004D5DD7">
            <w:pPr>
              <w:widowControl w:val="0"/>
              <w:jc w:val="center"/>
            </w:pPr>
            <w:r>
              <w:t>Fortnightly (approximate over 22 fortnights)</w:t>
            </w:r>
          </w:p>
        </w:tc>
        <w:tc>
          <w:tcPr>
            <w:tcW w:w="2038" w:type="dxa"/>
          </w:tcPr>
          <w:p w14:paraId="28B90FCF" w14:textId="7DB16B4F" w:rsidR="00FD495E" w:rsidRDefault="00F023C3" w:rsidP="004D5DD7">
            <w:pPr>
              <w:widowControl w:val="0"/>
              <w:jc w:val="center"/>
            </w:pPr>
            <w:r>
              <w:t>Monthly (over 10 months)</w:t>
            </w:r>
          </w:p>
        </w:tc>
        <w:tc>
          <w:tcPr>
            <w:tcW w:w="2038" w:type="dxa"/>
          </w:tcPr>
          <w:p w14:paraId="5EA046DF" w14:textId="73588F75" w:rsidR="00FD495E" w:rsidRDefault="00F023C3" w:rsidP="004D5DD7">
            <w:pPr>
              <w:widowControl w:val="0"/>
              <w:jc w:val="center"/>
            </w:pPr>
            <w:r>
              <w:t xml:space="preserve">Termly (approximate over </w:t>
            </w:r>
            <w:r w:rsidRPr="00F023C3">
              <w:rPr>
                <w:b/>
              </w:rPr>
              <w:t>3 terms</w:t>
            </w:r>
            <w:r>
              <w:t>)</w:t>
            </w:r>
          </w:p>
        </w:tc>
      </w:tr>
      <w:tr w:rsidR="00FD495E" w14:paraId="054858B0" w14:textId="77777777" w:rsidTr="00FD495E">
        <w:tc>
          <w:tcPr>
            <w:tcW w:w="2037" w:type="dxa"/>
          </w:tcPr>
          <w:p w14:paraId="36C0B704" w14:textId="522D86CF" w:rsidR="00FD495E" w:rsidRDefault="00FD495E" w:rsidP="00545C76">
            <w:pPr>
              <w:widowControl w:val="0"/>
            </w:pPr>
            <w:r>
              <w:t>1 child</w:t>
            </w:r>
          </w:p>
        </w:tc>
        <w:tc>
          <w:tcPr>
            <w:tcW w:w="2037" w:type="dxa"/>
          </w:tcPr>
          <w:p w14:paraId="1A39F796" w14:textId="35A6A69C" w:rsidR="00FD495E" w:rsidRDefault="00F023C3" w:rsidP="00545C76">
            <w:pPr>
              <w:widowControl w:val="0"/>
            </w:pPr>
            <w:r>
              <w:t>$56.60</w:t>
            </w:r>
          </w:p>
        </w:tc>
        <w:tc>
          <w:tcPr>
            <w:tcW w:w="2038" w:type="dxa"/>
          </w:tcPr>
          <w:p w14:paraId="3CDBF4E2" w14:textId="1F74E5EB" w:rsidR="00FD495E" w:rsidRDefault="00F023C3" w:rsidP="00545C76">
            <w:pPr>
              <w:widowControl w:val="0"/>
            </w:pPr>
            <w:r>
              <w:t>$113</w:t>
            </w:r>
          </w:p>
        </w:tc>
        <w:tc>
          <w:tcPr>
            <w:tcW w:w="2038" w:type="dxa"/>
          </w:tcPr>
          <w:p w14:paraId="5D4E4F34" w14:textId="275B1A67" w:rsidR="00FD495E" w:rsidRDefault="00F023C3" w:rsidP="00545C76">
            <w:pPr>
              <w:widowControl w:val="0"/>
            </w:pPr>
            <w:r>
              <w:t>$248</w:t>
            </w:r>
          </w:p>
        </w:tc>
        <w:tc>
          <w:tcPr>
            <w:tcW w:w="2038" w:type="dxa"/>
          </w:tcPr>
          <w:p w14:paraId="20415436" w14:textId="08C8E64A" w:rsidR="00FD495E" w:rsidRDefault="00F023C3" w:rsidP="00545C76">
            <w:pPr>
              <w:widowControl w:val="0"/>
            </w:pPr>
            <w:r>
              <w:t>$827</w:t>
            </w:r>
          </w:p>
        </w:tc>
      </w:tr>
      <w:tr w:rsidR="00FD495E" w14:paraId="31FE555C" w14:textId="77777777" w:rsidTr="00FD495E">
        <w:tc>
          <w:tcPr>
            <w:tcW w:w="2037" w:type="dxa"/>
          </w:tcPr>
          <w:p w14:paraId="437F0CD6" w14:textId="25B33E07" w:rsidR="00FD495E" w:rsidRDefault="00FD495E" w:rsidP="00545C76">
            <w:pPr>
              <w:widowControl w:val="0"/>
            </w:pPr>
            <w:r>
              <w:t>2 children</w:t>
            </w:r>
          </w:p>
        </w:tc>
        <w:tc>
          <w:tcPr>
            <w:tcW w:w="2037" w:type="dxa"/>
          </w:tcPr>
          <w:p w14:paraId="7C1C50B8" w14:textId="2E27C1DB" w:rsidR="00FD495E" w:rsidRDefault="00F023C3" w:rsidP="00545C76">
            <w:pPr>
              <w:widowControl w:val="0"/>
            </w:pPr>
            <w:r>
              <w:t>$99</w:t>
            </w:r>
          </w:p>
        </w:tc>
        <w:tc>
          <w:tcPr>
            <w:tcW w:w="2038" w:type="dxa"/>
          </w:tcPr>
          <w:p w14:paraId="6551A105" w14:textId="58555CDF" w:rsidR="00FD495E" w:rsidRDefault="00F023C3" w:rsidP="00545C76">
            <w:pPr>
              <w:widowControl w:val="0"/>
            </w:pPr>
            <w:r>
              <w:t>$198</w:t>
            </w:r>
          </w:p>
        </w:tc>
        <w:tc>
          <w:tcPr>
            <w:tcW w:w="2038" w:type="dxa"/>
          </w:tcPr>
          <w:p w14:paraId="079B3887" w14:textId="44CA0C14" w:rsidR="00FD495E" w:rsidRDefault="00F023C3" w:rsidP="00545C76">
            <w:pPr>
              <w:widowControl w:val="0"/>
            </w:pPr>
            <w:r>
              <w:t>$434</w:t>
            </w:r>
          </w:p>
        </w:tc>
        <w:tc>
          <w:tcPr>
            <w:tcW w:w="2038" w:type="dxa"/>
          </w:tcPr>
          <w:p w14:paraId="68D4423F" w14:textId="67592C19" w:rsidR="00FD495E" w:rsidRDefault="00F023C3" w:rsidP="00545C76">
            <w:pPr>
              <w:widowControl w:val="0"/>
            </w:pPr>
            <w:r>
              <w:t>$1,447</w:t>
            </w:r>
          </w:p>
        </w:tc>
      </w:tr>
      <w:tr w:rsidR="00FD495E" w14:paraId="3F5821E7" w14:textId="77777777" w:rsidTr="00FD495E">
        <w:tc>
          <w:tcPr>
            <w:tcW w:w="2037" w:type="dxa"/>
          </w:tcPr>
          <w:p w14:paraId="5745F7CE" w14:textId="6363E72B" w:rsidR="00FD495E" w:rsidRDefault="00FD495E" w:rsidP="00545C76">
            <w:pPr>
              <w:widowControl w:val="0"/>
            </w:pPr>
            <w:r>
              <w:t>3 or more children</w:t>
            </w:r>
          </w:p>
        </w:tc>
        <w:tc>
          <w:tcPr>
            <w:tcW w:w="2037" w:type="dxa"/>
          </w:tcPr>
          <w:p w14:paraId="3240758D" w14:textId="0A30F596" w:rsidR="00FD495E" w:rsidRDefault="00F023C3" w:rsidP="00545C76">
            <w:pPr>
              <w:widowControl w:val="0"/>
            </w:pPr>
            <w:r>
              <w:t>$132.50</w:t>
            </w:r>
          </w:p>
        </w:tc>
        <w:tc>
          <w:tcPr>
            <w:tcW w:w="2038" w:type="dxa"/>
          </w:tcPr>
          <w:p w14:paraId="6DEA6249" w14:textId="49A892FF" w:rsidR="00FD495E" w:rsidRDefault="00F023C3" w:rsidP="00545C76">
            <w:pPr>
              <w:widowControl w:val="0"/>
            </w:pPr>
            <w:r>
              <w:t>$265</w:t>
            </w:r>
          </w:p>
        </w:tc>
        <w:tc>
          <w:tcPr>
            <w:tcW w:w="2038" w:type="dxa"/>
          </w:tcPr>
          <w:p w14:paraId="53C96FF9" w14:textId="0B7A140F" w:rsidR="00FD495E" w:rsidRDefault="00F023C3" w:rsidP="00545C76">
            <w:pPr>
              <w:widowControl w:val="0"/>
            </w:pPr>
            <w:r>
              <w:t>$583</w:t>
            </w:r>
          </w:p>
        </w:tc>
        <w:tc>
          <w:tcPr>
            <w:tcW w:w="2038" w:type="dxa"/>
          </w:tcPr>
          <w:p w14:paraId="71D97B32" w14:textId="494DC576" w:rsidR="00FD495E" w:rsidRDefault="00F023C3" w:rsidP="00545C76">
            <w:pPr>
              <w:widowControl w:val="0"/>
            </w:pPr>
            <w:r>
              <w:t>$1,943</w:t>
            </w:r>
          </w:p>
        </w:tc>
      </w:tr>
    </w:tbl>
    <w:p w14:paraId="0ACF4DF2" w14:textId="4DEE00B9" w:rsidR="00FD495E" w:rsidRDefault="00FD495E" w:rsidP="00545C76">
      <w:pPr>
        <w:widowControl w:val="0"/>
      </w:pPr>
    </w:p>
    <w:p w14:paraId="3E9EA1CF" w14:textId="66B24B8D" w:rsidR="00FD495E" w:rsidRDefault="00FD495E" w:rsidP="00545C76">
      <w:pPr>
        <w:widowControl w:val="0"/>
      </w:pPr>
    </w:p>
    <w:p w14:paraId="610959C1" w14:textId="3EC532C8" w:rsidR="00FD495E" w:rsidRDefault="00FD495E" w:rsidP="00545C76">
      <w:pPr>
        <w:widowControl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7"/>
        <w:gridCol w:w="2037"/>
        <w:gridCol w:w="2038"/>
        <w:gridCol w:w="2038"/>
        <w:gridCol w:w="2038"/>
      </w:tblGrid>
      <w:tr w:rsidR="00F023C3" w14:paraId="7ACCFB82" w14:textId="77777777" w:rsidTr="00FD495E">
        <w:tc>
          <w:tcPr>
            <w:tcW w:w="2037" w:type="dxa"/>
          </w:tcPr>
          <w:p w14:paraId="2180F4AB" w14:textId="12DE2A86" w:rsidR="00F023C3" w:rsidRPr="00FD495E" w:rsidRDefault="00F023C3" w:rsidP="00F023C3">
            <w:pPr>
              <w:widowControl w:val="0"/>
              <w:rPr>
                <w:b/>
                <w:u w:val="single"/>
              </w:rPr>
            </w:pPr>
            <w:r w:rsidRPr="00FD495E">
              <w:rPr>
                <w:b/>
                <w:u w:val="single"/>
              </w:rPr>
              <w:t>Lower Income Fee</w:t>
            </w:r>
          </w:p>
        </w:tc>
        <w:tc>
          <w:tcPr>
            <w:tcW w:w="2037" w:type="dxa"/>
          </w:tcPr>
          <w:p w14:paraId="6B371544" w14:textId="5464E49C" w:rsidR="00F023C3" w:rsidRDefault="00F023C3" w:rsidP="004D5DD7">
            <w:pPr>
              <w:widowControl w:val="0"/>
              <w:jc w:val="center"/>
            </w:pPr>
            <w:r>
              <w:t>Weekly (approximate over 44 weeks)</w:t>
            </w:r>
          </w:p>
        </w:tc>
        <w:tc>
          <w:tcPr>
            <w:tcW w:w="2038" w:type="dxa"/>
          </w:tcPr>
          <w:p w14:paraId="3B37C70B" w14:textId="3DA30C1D" w:rsidR="00F023C3" w:rsidRDefault="00F023C3" w:rsidP="004D5DD7">
            <w:pPr>
              <w:widowControl w:val="0"/>
              <w:jc w:val="center"/>
            </w:pPr>
            <w:r>
              <w:t>Fortnightly (approximate over 22 fortnights)</w:t>
            </w:r>
          </w:p>
        </w:tc>
        <w:tc>
          <w:tcPr>
            <w:tcW w:w="2038" w:type="dxa"/>
          </w:tcPr>
          <w:p w14:paraId="65DBB5DA" w14:textId="33148D67" w:rsidR="00F023C3" w:rsidRDefault="00F023C3" w:rsidP="004D5DD7">
            <w:pPr>
              <w:widowControl w:val="0"/>
              <w:jc w:val="center"/>
            </w:pPr>
            <w:r>
              <w:t>Monthly (over 10 months)</w:t>
            </w:r>
          </w:p>
        </w:tc>
        <w:tc>
          <w:tcPr>
            <w:tcW w:w="2038" w:type="dxa"/>
          </w:tcPr>
          <w:p w14:paraId="38DC69A0" w14:textId="36816C3B" w:rsidR="00F023C3" w:rsidRDefault="00F023C3" w:rsidP="004D5DD7">
            <w:pPr>
              <w:widowControl w:val="0"/>
              <w:jc w:val="center"/>
            </w:pPr>
            <w:r>
              <w:t xml:space="preserve">Termly (approximate over </w:t>
            </w:r>
            <w:r w:rsidRPr="00F023C3">
              <w:rPr>
                <w:b/>
              </w:rPr>
              <w:t>3 terms</w:t>
            </w:r>
            <w:r>
              <w:t>)</w:t>
            </w:r>
          </w:p>
        </w:tc>
      </w:tr>
      <w:tr w:rsidR="00F023C3" w14:paraId="39348D9E" w14:textId="77777777" w:rsidTr="00FD495E">
        <w:tc>
          <w:tcPr>
            <w:tcW w:w="2037" w:type="dxa"/>
          </w:tcPr>
          <w:p w14:paraId="24D9A902" w14:textId="3FCAD754" w:rsidR="00F023C3" w:rsidRDefault="00F023C3" w:rsidP="00F023C3">
            <w:pPr>
              <w:widowControl w:val="0"/>
            </w:pPr>
            <w:r>
              <w:t>1 child</w:t>
            </w:r>
          </w:p>
        </w:tc>
        <w:tc>
          <w:tcPr>
            <w:tcW w:w="2037" w:type="dxa"/>
          </w:tcPr>
          <w:p w14:paraId="4D357217" w14:textId="7E9B4B21" w:rsidR="00F023C3" w:rsidRDefault="00F023C3" w:rsidP="00F023C3">
            <w:pPr>
              <w:widowControl w:val="0"/>
            </w:pPr>
            <w:r>
              <w:t>$34</w:t>
            </w:r>
          </w:p>
        </w:tc>
        <w:tc>
          <w:tcPr>
            <w:tcW w:w="2038" w:type="dxa"/>
          </w:tcPr>
          <w:p w14:paraId="1666B752" w14:textId="5A370166" w:rsidR="00F023C3" w:rsidRDefault="00F023C3" w:rsidP="00F023C3">
            <w:pPr>
              <w:widowControl w:val="0"/>
            </w:pPr>
            <w:r>
              <w:t>$68</w:t>
            </w:r>
          </w:p>
        </w:tc>
        <w:tc>
          <w:tcPr>
            <w:tcW w:w="2038" w:type="dxa"/>
          </w:tcPr>
          <w:p w14:paraId="7D938BE5" w14:textId="1D78E3F2" w:rsidR="00F023C3" w:rsidRDefault="00F023C3" w:rsidP="00F023C3">
            <w:pPr>
              <w:widowControl w:val="0"/>
            </w:pPr>
            <w:r>
              <w:t>$148.80</w:t>
            </w:r>
          </w:p>
        </w:tc>
        <w:tc>
          <w:tcPr>
            <w:tcW w:w="2038" w:type="dxa"/>
          </w:tcPr>
          <w:p w14:paraId="206AB87E" w14:textId="127B5294" w:rsidR="00F023C3" w:rsidRDefault="00F023C3" w:rsidP="00F023C3">
            <w:pPr>
              <w:widowControl w:val="0"/>
            </w:pPr>
            <w:r>
              <w:t>$496</w:t>
            </w:r>
          </w:p>
        </w:tc>
      </w:tr>
      <w:tr w:rsidR="00F023C3" w14:paraId="4FF9F638" w14:textId="77777777" w:rsidTr="00FD495E">
        <w:tc>
          <w:tcPr>
            <w:tcW w:w="2037" w:type="dxa"/>
          </w:tcPr>
          <w:p w14:paraId="3029CA0E" w14:textId="4E534C1E" w:rsidR="00F023C3" w:rsidRDefault="00F023C3" w:rsidP="00F023C3">
            <w:pPr>
              <w:widowControl w:val="0"/>
            </w:pPr>
            <w:r>
              <w:t>2 children</w:t>
            </w:r>
          </w:p>
        </w:tc>
        <w:tc>
          <w:tcPr>
            <w:tcW w:w="2037" w:type="dxa"/>
          </w:tcPr>
          <w:p w14:paraId="4E3944E4" w14:textId="545F296B" w:rsidR="00F023C3" w:rsidRDefault="00F023C3" w:rsidP="00F023C3">
            <w:pPr>
              <w:widowControl w:val="0"/>
            </w:pPr>
            <w:r>
              <w:t>$59</w:t>
            </w:r>
          </w:p>
        </w:tc>
        <w:tc>
          <w:tcPr>
            <w:tcW w:w="2038" w:type="dxa"/>
          </w:tcPr>
          <w:p w14:paraId="0614B573" w14:textId="64B88925" w:rsidR="00F023C3" w:rsidRDefault="00F023C3" w:rsidP="00F023C3">
            <w:pPr>
              <w:widowControl w:val="0"/>
            </w:pPr>
            <w:r>
              <w:t>$118.50</w:t>
            </w:r>
          </w:p>
        </w:tc>
        <w:tc>
          <w:tcPr>
            <w:tcW w:w="2038" w:type="dxa"/>
          </w:tcPr>
          <w:p w14:paraId="6381AF5A" w14:textId="1A068853" w:rsidR="00F023C3" w:rsidRDefault="00F023C3" w:rsidP="00F023C3">
            <w:pPr>
              <w:widowControl w:val="0"/>
            </w:pPr>
            <w:r>
              <w:t>$260.40</w:t>
            </w:r>
          </w:p>
        </w:tc>
        <w:tc>
          <w:tcPr>
            <w:tcW w:w="2038" w:type="dxa"/>
          </w:tcPr>
          <w:p w14:paraId="013100D7" w14:textId="773B75D2" w:rsidR="00F023C3" w:rsidRDefault="00F023C3" w:rsidP="00F023C3">
            <w:pPr>
              <w:widowControl w:val="0"/>
            </w:pPr>
            <w:r>
              <w:t>$868</w:t>
            </w:r>
          </w:p>
        </w:tc>
      </w:tr>
      <w:tr w:rsidR="00F023C3" w14:paraId="4F746DFB" w14:textId="77777777" w:rsidTr="00FD495E">
        <w:tc>
          <w:tcPr>
            <w:tcW w:w="2037" w:type="dxa"/>
          </w:tcPr>
          <w:p w14:paraId="594EA857" w14:textId="548D91B7" w:rsidR="00F023C3" w:rsidRDefault="00F023C3" w:rsidP="00F023C3">
            <w:pPr>
              <w:widowControl w:val="0"/>
            </w:pPr>
            <w:r>
              <w:t>3 or more children</w:t>
            </w:r>
          </w:p>
        </w:tc>
        <w:tc>
          <w:tcPr>
            <w:tcW w:w="2037" w:type="dxa"/>
          </w:tcPr>
          <w:p w14:paraId="399D0033" w14:textId="1BA1AB7F" w:rsidR="00F023C3" w:rsidRDefault="00F023C3" w:rsidP="00F023C3">
            <w:pPr>
              <w:widowControl w:val="0"/>
            </w:pPr>
            <w:r>
              <w:t>$79.50</w:t>
            </w:r>
          </w:p>
        </w:tc>
        <w:tc>
          <w:tcPr>
            <w:tcW w:w="2038" w:type="dxa"/>
          </w:tcPr>
          <w:p w14:paraId="571D8243" w14:textId="3075D88A" w:rsidR="00F023C3" w:rsidRDefault="00F023C3" w:rsidP="00F023C3">
            <w:pPr>
              <w:widowControl w:val="0"/>
            </w:pPr>
            <w:r>
              <w:t>$159</w:t>
            </w:r>
          </w:p>
        </w:tc>
        <w:tc>
          <w:tcPr>
            <w:tcW w:w="2038" w:type="dxa"/>
          </w:tcPr>
          <w:p w14:paraId="221B2719" w14:textId="4182812A" w:rsidR="00F023C3" w:rsidRDefault="00F023C3" w:rsidP="00F023C3">
            <w:pPr>
              <w:widowControl w:val="0"/>
            </w:pPr>
            <w:r>
              <w:t>$349.70</w:t>
            </w:r>
          </w:p>
        </w:tc>
        <w:tc>
          <w:tcPr>
            <w:tcW w:w="2038" w:type="dxa"/>
          </w:tcPr>
          <w:p w14:paraId="06B7ACFF" w14:textId="758FAA63" w:rsidR="00F023C3" w:rsidRDefault="00F023C3" w:rsidP="00F023C3">
            <w:pPr>
              <w:widowControl w:val="0"/>
            </w:pPr>
            <w:r>
              <w:t>$1,166</w:t>
            </w:r>
          </w:p>
        </w:tc>
      </w:tr>
    </w:tbl>
    <w:p w14:paraId="2E39EB30" w14:textId="7F0063AE" w:rsidR="00FD495E" w:rsidRDefault="00FD495E" w:rsidP="00545C76">
      <w:pPr>
        <w:widowControl w:val="0"/>
      </w:pPr>
    </w:p>
    <w:p w14:paraId="5D13280E" w14:textId="77777777" w:rsidR="00A46DB5" w:rsidRDefault="00A46DB5" w:rsidP="00545C76">
      <w:pPr>
        <w:widowControl w:val="0"/>
      </w:pPr>
    </w:p>
    <w:p w14:paraId="4CFD02D8" w14:textId="0E79432F" w:rsidR="00FD495E" w:rsidRDefault="00F023C3" w:rsidP="00545C76">
      <w:pPr>
        <w:widowControl w:val="0"/>
      </w:pPr>
      <w:r>
        <w:t>Other payment options include:</w:t>
      </w:r>
    </w:p>
    <w:p w14:paraId="24414020" w14:textId="07D45DF2" w:rsidR="00F023C3" w:rsidRDefault="00F023C3" w:rsidP="00F023C3">
      <w:pPr>
        <w:pStyle w:val="ListParagraph"/>
        <w:widowControl w:val="0"/>
        <w:numPr>
          <w:ilvl w:val="0"/>
          <w:numId w:val="13"/>
        </w:numPr>
      </w:pPr>
      <w:r>
        <w:t>BPAY – reference numbers are printed on invoices and statements</w:t>
      </w:r>
    </w:p>
    <w:p w14:paraId="0072EEA7" w14:textId="54D81688" w:rsidR="00F023C3" w:rsidRDefault="00F023C3" w:rsidP="00F023C3">
      <w:pPr>
        <w:pStyle w:val="ListParagraph"/>
        <w:widowControl w:val="0"/>
        <w:numPr>
          <w:ilvl w:val="0"/>
          <w:numId w:val="13"/>
        </w:numPr>
      </w:pPr>
      <w:r>
        <w:t>Downloading the QKR app and paying by credit card via your phone</w:t>
      </w:r>
    </w:p>
    <w:p w14:paraId="00E54BAF" w14:textId="252CE4DC" w:rsidR="00F023C3" w:rsidRDefault="00F023C3" w:rsidP="00F023C3">
      <w:pPr>
        <w:pStyle w:val="ListParagraph"/>
        <w:widowControl w:val="0"/>
        <w:numPr>
          <w:ilvl w:val="0"/>
          <w:numId w:val="13"/>
        </w:numPr>
      </w:pPr>
      <w:r>
        <w:t>Cash</w:t>
      </w:r>
    </w:p>
    <w:p w14:paraId="6E85F4E2" w14:textId="24106EF9" w:rsidR="00FD495E" w:rsidRDefault="00FD495E" w:rsidP="00545C76">
      <w:pPr>
        <w:widowControl w:val="0"/>
      </w:pPr>
    </w:p>
    <w:p w14:paraId="04F4DF58" w14:textId="140B3F9E" w:rsidR="00545C76" w:rsidRDefault="00545C76" w:rsidP="00545C76">
      <w:pPr>
        <w:widowControl w:val="0"/>
      </w:pPr>
      <w:r>
        <w:t>If you need assistance meeting payments or have any questions, please call the School Finance Officer</w:t>
      </w:r>
      <w:r w:rsidR="00A46DB5">
        <w:t xml:space="preserve"> on 8178 770</w:t>
      </w:r>
      <w:r w:rsidR="008738BF">
        <w:t>0</w:t>
      </w:r>
      <w:r w:rsidR="00A46DB5">
        <w:t xml:space="preserve"> or alternatively email </w:t>
      </w:r>
      <w:hyperlink r:id="rId9" w:history="1">
        <w:r w:rsidR="00797AB5" w:rsidRPr="007965E9">
          <w:rPr>
            <w:rStyle w:val="Hyperlink"/>
          </w:rPr>
          <w:t>accounts@whitefriars.catholic.edu.au</w:t>
        </w:r>
      </w:hyperlink>
      <w:r w:rsidR="00A46DB5">
        <w:t xml:space="preserve"> </w:t>
      </w:r>
    </w:p>
    <w:p w14:paraId="4128DAAE" w14:textId="5C2C0D49" w:rsidR="00545C76" w:rsidRDefault="00545C76" w:rsidP="00545C76">
      <w:pPr>
        <w:widowControl w:val="0"/>
      </w:pPr>
      <w:r>
        <w:t> </w:t>
      </w:r>
    </w:p>
    <w:p w14:paraId="21069E2F" w14:textId="3864243A" w:rsidR="00A46DB5" w:rsidRDefault="00A46DB5" w:rsidP="00545C76">
      <w:pPr>
        <w:widowControl w:val="0"/>
      </w:pPr>
    </w:p>
    <w:p w14:paraId="74CE88E1" w14:textId="77777777" w:rsidR="00A46DB5" w:rsidRDefault="00A46DB5" w:rsidP="00545C76">
      <w:pPr>
        <w:widowControl w:val="0"/>
      </w:pPr>
    </w:p>
    <w:p w14:paraId="1708B0F8" w14:textId="4379D4FD" w:rsidR="00A46DB5" w:rsidRDefault="00A46DB5" w:rsidP="00545C76">
      <w:pPr>
        <w:widowControl w:val="0"/>
      </w:pPr>
    </w:p>
    <w:p w14:paraId="59D18C60" w14:textId="754774AA" w:rsidR="00CD7343" w:rsidRDefault="00A46DB5" w:rsidP="00A46DB5">
      <w:pPr>
        <w:widowControl w:val="0"/>
      </w:pPr>
      <w:r>
        <w:t>Whitefriars Catholic School Board</w:t>
      </w:r>
    </w:p>
    <w:p w14:paraId="304A6E73" w14:textId="327C0BFE" w:rsidR="00CD7343" w:rsidRDefault="00CD7343" w:rsidP="009B3FB0"/>
    <w:p w14:paraId="5BE4DD6C" w14:textId="760F6361" w:rsidR="00CD7343" w:rsidRDefault="00CD7343" w:rsidP="009B3FB0"/>
    <w:p w14:paraId="476476B3" w14:textId="742A919B" w:rsidR="00CD7343" w:rsidRDefault="00CD7343" w:rsidP="009B3FB0"/>
    <w:p w14:paraId="2020ECAF" w14:textId="2A24B557" w:rsidR="00CD7343" w:rsidRDefault="00CD7343" w:rsidP="009B3FB0"/>
    <w:p w14:paraId="5D4D942F" w14:textId="043AB727" w:rsidR="00CD7343" w:rsidRDefault="00CD7343" w:rsidP="009B3FB0"/>
    <w:p w14:paraId="50A7D5DC" w14:textId="51C44471" w:rsidR="00CD7343" w:rsidRDefault="00CD7343" w:rsidP="009B3FB0"/>
    <w:p w14:paraId="718295FD" w14:textId="39C0FD2D" w:rsidR="00CD7343" w:rsidRDefault="00CD7343" w:rsidP="009B3FB0"/>
    <w:p w14:paraId="3BBD8156" w14:textId="77777777" w:rsidR="00CD7343" w:rsidRPr="009B3FB0" w:rsidRDefault="00CD7343" w:rsidP="009B3FB0"/>
    <w:sectPr w:rsidR="00CD7343" w:rsidRPr="009B3FB0" w:rsidSect="008621CA">
      <w:headerReference w:type="first" r:id="rId10"/>
      <w:pgSz w:w="11900" w:h="16840"/>
      <w:pgMar w:top="1134" w:right="851" w:bottom="568" w:left="851" w:header="0" w:footer="0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B1A8C" w14:textId="77777777" w:rsidR="00575938" w:rsidRDefault="00575938" w:rsidP="00001106">
      <w:r>
        <w:separator/>
      </w:r>
    </w:p>
  </w:endnote>
  <w:endnote w:type="continuationSeparator" w:id="0">
    <w:p w14:paraId="38639B62" w14:textId="77777777" w:rsidR="00575938" w:rsidRDefault="00575938" w:rsidP="0000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E49A8" w14:textId="77777777" w:rsidR="00575938" w:rsidRDefault="00575938" w:rsidP="00001106">
      <w:r>
        <w:separator/>
      </w:r>
    </w:p>
  </w:footnote>
  <w:footnote w:type="continuationSeparator" w:id="0">
    <w:p w14:paraId="531211DB" w14:textId="77777777" w:rsidR="00575938" w:rsidRDefault="00575938" w:rsidP="00001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A0DE4" w14:textId="77777777" w:rsidR="00DD5850" w:rsidRDefault="009B7B14" w:rsidP="001B51A7">
    <w:pPr>
      <w:pStyle w:val="Header"/>
      <w:tabs>
        <w:tab w:val="clear" w:pos="4513"/>
        <w:tab w:val="clear" w:pos="9026"/>
      </w:tabs>
    </w:pPr>
    <w:r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0DFA783E" wp14:editId="5CE399D2">
          <wp:simplePos x="0" y="0"/>
          <wp:positionH relativeFrom="page">
            <wp:posOffset>1905</wp:posOffset>
          </wp:positionH>
          <wp:positionV relativeFrom="paragraph">
            <wp:posOffset>0</wp:posOffset>
          </wp:positionV>
          <wp:extent cx="7559675" cy="2159635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FS004 Letterhead Header F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59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9C8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EE00F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3604E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2F2BE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68482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8689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74A7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D6C3C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DCE15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50CF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3621E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6543798"/>
    <w:multiLevelType w:val="hybridMultilevel"/>
    <w:tmpl w:val="8F3686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55E1D"/>
    <w:multiLevelType w:val="hybridMultilevel"/>
    <w:tmpl w:val="B97C435C"/>
    <w:lvl w:ilvl="0" w:tplc="8CBA23FC">
      <w:start w:val="1"/>
      <w:numFmt w:val="bullet"/>
      <w:pStyle w:val="BulletPoint10p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4963486">
    <w:abstractNumId w:val="0"/>
  </w:num>
  <w:num w:numId="2" w16cid:durableId="947008538">
    <w:abstractNumId w:val="1"/>
  </w:num>
  <w:num w:numId="3" w16cid:durableId="1310864656">
    <w:abstractNumId w:val="2"/>
  </w:num>
  <w:num w:numId="4" w16cid:durableId="1219247987">
    <w:abstractNumId w:val="3"/>
  </w:num>
  <w:num w:numId="5" w16cid:durableId="1391727250">
    <w:abstractNumId w:val="4"/>
  </w:num>
  <w:num w:numId="6" w16cid:durableId="2047942292">
    <w:abstractNumId w:val="9"/>
  </w:num>
  <w:num w:numId="7" w16cid:durableId="513224808">
    <w:abstractNumId w:val="5"/>
  </w:num>
  <w:num w:numId="8" w16cid:durableId="2116250355">
    <w:abstractNumId w:val="6"/>
  </w:num>
  <w:num w:numId="9" w16cid:durableId="1140734313">
    <w:abstractNumId w:val="7"/>
  </w:num>
  <w:num w:numId="10" w16cid:durableId="927160063">
    <w:abstractNumId w:val="8"/>
  </w:num>
  <w:num w:numId="11" w16cid:durableId="2139176136">
    <w:abstractNumId w:val="10"/>
  </w:num>
  <w:num w:numId="12" w16cid:durableId="1535197240">
    <w:abstractNumId w:val="12"/>
  </w:num>
  <w:num w:numId="13" w16cid:durableId="13569973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200"/>
  <w:displayHorizontalDrawingGridEvery w:val="2"/>
  <w:displayVerticalDrawingGridEvery w:val="2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1B6"/>
    <w:rsid w:val="00001106"/>
    <w:rsid w:val="00012697"/>
    <w:rsid w:val="00013372"/>
    <w:rsid w:val="00017DBB"/>
    <w:rsid w:val="000602F1"/>
    <w:rsid w:val="00060DF7"/>
    <w:rsid w:val="001160A8"/>
    <w:rsid w:val="00130DE8"/>
    <w:rsid w:val="001330D5"/>
    <w:rsid w:val="00140C2E"/>
    <w:rsid w:val="00151596"/>
    <w:rsid w:val="0019597C"/>
    <w:rsid w:val="001A1062"/>
    <w:rsid w:val="001B51A7"/>
    <w:rsid w:val="001B7793"/>
    <w:rsid w:val="002077F9"/>
    <w:rsid w:val="00217F89"/>
    <w:rsid w:val="00265381"/>
    <w:rsid w:val="00291F00"/>
    <w:rsid w:val="002B380E"/>
    <w:rsid w:val="002D0664"/>
    <w:rsid w:val="002D3191"/>
    <w:rsid w:val="002D6208"/>
    <w:rsid w:val="00362414"/>
    <w:rsid w:val="00372251"/>
    <w:rsid w:val="00380C97"/>
    <w:rsid w:val="003A7448"/>
    <w:rsid w:val="0040673F"/>
    <w:rsid w:val="0045259F"/>
    <w:rsid w:val="00461AEA"/>
    <w:rsid w:val="00467A90"/>
    <w:rsid w:val="004D5DD7"/>
    <w:rsid w:val="004F6B24"/>
    <w:rsid w:val="00501F62"/>
    <w:rsid w:val="0054193D"/>
    <w:rsid w:val="00545C76"/>
    <w:rsid w:val="005650DB"/>
    <w:rsid w:val="00571539"/>
    <w:rsid w:val="00573CB3"/>
    <w:rsid w:val="00575938"/>
    <w:rsid w:val="00577CCC"/>
    <w:rsid w:val="005A7F15"/>
    <w:rsid w:val="005C23E8"/>
    <w:rsid w:val="005C61E0"/>
    <w:rsid w:val="005E2F93"/>
    <w:rsid w:val="005E51B0"/>
    <w:rsid w:val="00630DB9"/>
    <w:rsid w:val="00637F88"/>
    <w:rsid w:val="00643D75"/>
    <w:rsid w:val="00666F5C"/>
    <w:rsid w:val="00685BB4"/>
    <w:rsid w:val="006A074E"/>
    <w:rsid w:val="006A7793"/>
    <w:rsid w:val="006B1538"/>
    <w:rsid w:val="006B4986"/>
    <w:rsid w:val="006D1BD3"/>
    <w:rsid w:val="00702683"/>
    <w:rsid w:val="00732E55"/>
    <w:rsid w:val="007404BC"/>
    <w:rsid w:val="007418BA"/>
    <w:rsid w:val="00747B4A"/>
    <w:rsid w:val="0078751A"/>
    <w:rsid w:val="00797AB5"/>
    <w:rsid w:val="007A10F9"/>
    <w:rsid w:val="007D0CE9"/>
    <w:rsid w:val="007D534D"/>
    <w:rsid w:val="007E06CF"/>
    <w:rsid w:val="007F441C"/>
    <w:rsid w:val="00802A79"/>
    <w:rsid w:val="00820D7F"/>
    <w:rsid w:val="00831F07"/>
    <w:rsid w:val="00833937"/>
    <w:rsid w:val="00851B4F"/>
    <w:rsid w:val="008621CA"/>
    <w:rsid w:val="00865507"/>
    <w:rsid w:val="008738BF"/>
    <w:rsid w:val="008E4E94"/>
    <w:rsid w:val="008E569C"/>
    <w:rsid w:val="00982A61"/>
    <w:rsid w:val="009869E8"/>
    <w:rsid w:val="00986FC2"/>
    <w:rsid w:val="009B3FB0"/>
    <w:rsid w:val="009B7547"/>
    <w:rsid w:val="009B7B14"/>
    <w:rsid w:val="009C2233"/>
    <w:rsid w:val="009C3CA9"/>
    <w:rsid w:val="009D379E"/>
    <w:rsid w:val="009D63BD"/>
    <w:rsid w:val="009D7E62"/>
    <w:rsid w:val="009E21B6"/>
    <w:rsid w:val="00A348DF"/>
    <w:rsid w:val="00A46156"/>
    <w:rsid w:val="00A46DB5"/>
    <w:rsid w:val="00A47F20"/>
    <w:rsid w:val="00A707FD"/>
    <w:rsid w:val="00A73069"/>
    <w:rsid w:val="00B068E8"/>
    <w:rsid w:val="00B12A59"/>
    <w:rsid w:val="00B20DC8"/>
    <w:rsid w:val="00B41A3E"/>
    <w:rsid w:val="00B51793"/>
    <w:rsid w:val="00B650BE"/>
    <w:rsid w:val="00B7062B"/>
    <w:rsid w:val="00B80E6C"/>
    <w:rsid w:val="00BE0CFE"/>
    <w:rsid w:val="00BF3849"/>
    <w:rsid w:val="00C1288F"/>
    <w:rsid w:val="00C15D38"/>
    <w:rsid w:val="00C16441"/>
    <w:rsid w:val="00C42C1A"/>
    <w:rsid w:val="00C50E40"/>
    <w:rsid w:val="00C90038"/>
    <w:rsid w:val="00C91A97"/>
    <w:rsid w:val="00CB59C6"/>
    <w:rsid w:val="00CD7343"/>
    <w:rsid w:val="00D027A9"/>
    <w:rsid w:val="00D53147"/>
    <w:rsid w:val="00D933AD"/>
    <w:rsid w:val="00DB0210"/>
    <w:rsid w:val="00DC63A0"/>
    <w:rsid w:val="00DD5850"/>
    <w:rsid w:val="00DE2006"/>
    <w:rsid w:val="00E017C7"/>
    <w:rsid w:val="00E13687"/>
    <w:rsid w:val="00E26300"/>
    <w:rsid w:val="00E35166"/>
    <w:rsid w:val="00E45FB9"/>
    <w:rsid w:val="00E77E65"/>
    <w:rsid w:val="00F023C3"/>
    <w:rsid w:val="00F1517B"/>
    <w:rsid w:val="00F37150"/>
    <w:rsid w:val="00F80D83"/>
    <w:rsid w:val="00F833AF"/>
    <w:rsid w:val="00FD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2C4A6B4D"/>
  <w14:defaultImageDpi w14:val="32767"/>
  <w15:docId w15:val="{F1A73A8D-1ED8-4654-AD90-A72C3F5A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engXi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2">
    <w:name w:val="heading 2"/>
    <w:link w:val="Heading2Char"/>
    <w:uiPriority w:val="9"/>
    <w:qFormat/>
    <w:rsid w:val="00666F5C"/>
    <w:pPr>
      <w:spacing w:after="120" w:line="285" w:lineRule="auto"/>
      <w:outlineLvl w:val="1"/>
    </w:pPr>
    <w:rPr>
      <w:rFonts w:ascii="Cambria" w:eastAsia="Times New Roman" w:hAnsi="Cambria"/>
      <w:color w:val="000000"/>
      <w:kern w:val="28"/>
      <w:sz w:val="32"/>
      <w:szCs w:val="32"/>
      <w:lang w:val="en-AU" w:eastAsia="en-AU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sid w:val="009D7E62"/>
    <w:pPr>
      <w:spacing w:line="240" w:lineRule="exact"/>
      <w:ind w:left="1134" w:right="1134"/>
    </w:pPr>
    <w:rPr>
      <w:rFonts w:ascii="Arial" w:hAnsi="Arial"/>
      <w:sz w:val="21"/>
    </w:rPr>
  </w:style>
  <w:style w:type="paragraph" w:customStyle="1" w:styleId="EPABodyText">
    <w:name w:val="EPA Body Text"/>
    <w:basedOn w:val="Normal"/>
    <w:rsid w:val="00C16441"/>
    <w:pPr>
      <w:suppressAutoHyphens/>
      <w:spacing w:after="100" w:line="260" w:lineRule="exact"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011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106"/>
  </w:style>
  <w:style w:type="paragraph" w:styleId="Footer">
    <w:name w:val="footer"/>
    <w:basedOn w:val="Normal"/>
    <w:link w:val="FooterChar"/>
    <w:uiPriority w:val="99"/>
    <w:unhideWhenUsed/>
    <w:rsid w:val="000011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106"/>
  </w:style>
  <w:style w:type="paragraph" w:styleId="BalloonText">
    <w:name w:val="Balloon Text"/>
    <w:basedOn w:val="Normal"/>
    <w:link w:val="BalloonTextChar"/>
    <w:uiPriority w:val="99"/>
    <w:semiHidden/>
    <w:unhideWhenUsed/>
    <w:rsid w:val="000126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12697"/>
    <w:rPr>
      <w:rFonts w:ascii="Lucida Grande" w:hAnsi="Lucida Grande" w:cs="Lucida Grande"/>
      <w:sz w:val="18"/>
      <w:szCs w:val="18"/>
    </w:rPr>
  </w:style>
  <w:style w:type="paragraph" w:customStyle="1" w:styleId="HL10pt">
    <w:name w:val="HL 10pt"/>
    <w:basedOn w:val="Normal"/>
    <w:qFormat/>
    <w:rsid w:val="00BF3849"/>
    <w:pPr>
      <w:spacing w:before="200" w:line="260" w:lineRule="exact"/>
    </w:pPr>
    <w:rPr>
      <w:rFonts w:ascii="Arial" w:eastAsiaTheme="minorEastAsia" w:hAnsi="Arial" w:cs="Arial"/>
      <w:b/>
      <w:sz w:val="20"/>
      <w:szCs w:val="18"/>
      <w:lang w:val="en-AU" w:eastAsia="en-US"/>
    </w:rPr>
  </w:style>
  <w:style w:type="paragraph" w:customStyle="1" w:styleId="BodyCopy10pt">
    <w:name w:val="Body Copy 10pt"/>
    <w:basedOn w:val="Normal"/>
    <w:qFormat/>
    <w:rsid w:val="00BF3849"/>
    <w:pPr>
      <w:spacing w:before="120" w:line="260" w:lineRule="exact"/>
    </w:pPr>
    <w:rPr>
      <w:rFonts w:ascii="Arial" w:eastAsiaTheme="minorEastAsia" w:hAnsi="Arial" w:cs="Arial"/>
      <w:sz w:val="20"/>
      <w:szCs w:val="18"/>
      <w:lang w:val="en-AU" w:eastAsia="en-US"/>
    </w:rPr>
  </w:style>
  <w:style w:type="paragraph" w:customStyle="1" w:styleId="BulletPoint10pt">
    <w:name w:val="Bullet Point 10pt"/>
    <w:basedOn w:val="ListParagraph"/>
    <w:qFormat/>
    <w:rsid w:val="00BF3849"/>
    <w:pPr>
      <w:numPr>
        <w:numId w:val="12"/>
      </w:numPr>
      <w:tabs>
        <w:tab w:val="num" w:pos="0"/>
      </w:tabs>
      <w:spacing w:before="120" w:line="260" w:lineRule="exact"/>
      <w:ind w:left="284" w:hanging="284"/>
    </w:pPr>
    <w:rPr>
      <w:rFonts w:ascii="Arial" w:eastAsiaTheme="minorEastAsia" w:hAnsi="Arial" w:cs="Arial"/>
      <w:sz w:val="20"/>
      <w:szCs w:val="18"/>
      <w:lang w:val="en-AU" w:eastAsia="en-US"/>
    </w:rPr>
  </w:style>
  <w:style w:type="paragraph" w:styleId="ListParagraph">
    <w:name w:val="List Paragraph"/>
    <w:basedOn w:val="Normal"/>
    <w:uiPriority w:val="34"/>
    <w:qFormat/>
    <w:rsid w:val="00577CC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66F5C"/>
    <w:rPr>
      <w:rFonts w:ascii="Cambria" w:eastAsia="Times New Roman" w:hAnsi="Cambria"/>
      <w:color w:val="000000"/>
      <w:kern w:val="28"/>
      <w:sz w:val="32"/>
      <w:szCs w:val="32"/>
      <w:lang w:val="en-AU" w:eastAsia="en-AU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666F5C"/>
    <w:rPr>
      <w:color w:val="085296"/>
      <w:u w:val="single"/>
    </w:rPr>
  </w:style>
  <w:style w:type="table" w:styleId="TableGrid">
    <w:name w:val="Table Grid"/>
    <w:basedOn w:val="TableNormal"/>
    <w:uiPriority w:val="39"/>
    <w:rsid w:val="00666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97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.gov.au/topics/education-and-learning/financial-help-scholarships-and-grants/school-card-sche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ccounts@whitefriars.catholic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ttiazzo\AppData\Local\Microsoft\Windows\Temporary%20Internet%20Files\Content.Outlook\LHZVIEF1\WFS006%20Word%20Template%20-%20MAS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3E3EFE-C1F3-4D47-A625-29DE76CF8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WFS006 Word Template - MASTER.dotx</Template>
  <TotalTime>11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Motiv Design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Mattiazzo</dc:creator>
  <cp:keywords/>
  <dc:description/>
  <cp:lastModifiedBy>Lyn Harrison</cp:lastModifiedBy>
  <cp:revision>2</cp:revision>
  <cp:lastPrinted>2022-11-03T00:59:00Z</cp:lastPrinted>
  <dcterms:created xsi:type="dcterms:W3CDTF">2023-10-25T03:27:00Z</dcterms:created>
  <dcterms:modified xsi:type="dcterms:W3CDTF">2023-10-25T03:27:00Z</dcterms:modified>
</cp:coreProperties>
</file>